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91A4" w14:textId="6369C0B9" w:rsidR="005D6EBC" w:rsidRPr="00E10FBC" w:rsidRDefault="005D6EBC" w:rsidP="005D6EBC">
      <w:pPr>
        <w:pStyle w:val="Bezproreda"/>
        <w:rPr>
          <w:rFonts w:ascii="Times New Roman" w:hAnsi="Times New Roman" w:cs="Times New Roman"/>
          <w:b/>
          <w:color w:val="FF0000"/>
          <w:sz w:val="24"/>
          <w:lang w:val="de-DE"/>
        </w:rPr>
      </w:pPr>
      <w:bookmarkStart w:id="0" w:name="_Hlk129341177"/>
      <w:r>
        <w:rPr>
          <w:rFonts w:ascii="Times New Roman" w:hAnsi="Times New Roman" w:cs="Times New Roman"/>
          <w:i/>
          <w:color w:val="FF0000"/>
        </w:rPr>
        <w:t xml:space="preserve">    </w:t>
      </w:r>
      <w:r w:rsidR="009F52D9">
        <w:rPr>
          <w:rFonts w:ascii="Times New Roman" w:hAnsi="Times New Roman" w:cs="Times New Roman"/>
          <w:i/>
          <w:color w:val="FF0000"/>
        </w:rPr>
        <w:t xml:space="preserve">             </w:t>
      </w:r>
      <w:r w:rsidR="00A057C9">
        <w:rPr>
          <w:noProof/>
        </w:rPr>
        <w:drawing>
          <wp:inline distT="0" distB="0" distL="0" distR="0" wp14:anchorId="2F128B6B" wp14:editId="757B665A">
            <wp:extent cx="381000" cy="481642"/>
            <wp:effectExtent l="0" t="0" r="0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" cy="48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A2A88" w14:textId="77777777" w:rsidR="005D6EBC" w:rsidRPr="00E10FBC" w:rsidRDefault="005D6EBC" w:rsidP="005D6EBC">
      <w:pPr>
        <w:pStyle w:val="Bezproreda"/>
        <w:rPr>
          <w:rFonts w:ascii="Times New Roman" w:hAnsi="Times New Roman" w:cs="Times New Roman"/>
        </w:rPr>
      </w:pPr>
      <w:r w:rsidRPr="00E10FBC">
        <w:rPr>
          <w:rFonts w:ascii="Times New Roman" w:hAnsi="Times New Roman" w:cs="Times New Roman"/>
        </w:rPr>
        <w:t xml:space="preserve">   REPUBLIKA HRVATSKA</w:t>
      </w:r>
    </w:p>
    <w:p w14:paraId="227E50E4" w14:textId="77777777" w:rsidR="005D6EBC" w:rsidRPr="00E10FBC" w:rsidRDefault="005D6EBC" w:rsidP="005D6EBC">
      <w:pPr>
        <w:pStyle w:val="Bezproreda"/>
        <w:rPr>
          <w:rFonts w:ascii="Times New Roman" w:hAnsi="Times New Roman" w:cs="Times New Roman"/>
        </w:rPr>
      </w:pPr>
      <w:r w:rsidRPr="00E10FBC">
        <w:rPr>
          <w:rFonts w:ascii="Times New Roman" w:hAnsi="Times New Roman" w:cs="Times New Roman"/>
        </w:rPr>
        <w:t xml:space="preserve"> VARAŽDINSKA ŽUPANIJA</w:t>
      </w:r>
    </w:p>
    <w:p w14:paraId="62F1F81E" w14:textId="77777777" w:rsidR="005D6EBC" w:rsidRPr="00E10FBC" w:rsidRDefault="005D6EBC" w:rsidP="005D6EBC">
      <w:pPr>
        <w:pStyle w:val="Bezproreda"/>
        <w:rPr>
          <w:rFonts w:ascii="Times New Roman" w:hAnsi="Times New Roman" w:cs="Times New Roman"/>
        </w:rPr>
      </w:pPr>
      <w:r w:rsidRPr="00E10FBC">
        <w:rPr>
          <w:rFonts w:ascii="Times New Roman" w:hAnsi="Times New Roman" w:cs="Times New Roman"/>
        </w:rPr>
        <w:t xml:space="preserve">         OPĆINA VINICA</w:t>
      </w:r>
    </w:p>
    <w:p w14:paraId="77C88710" w14:textId="709E50CC" w:rsidR="005D6EBC" w:rsidRPr="00E10FBC" w:rsidRDefault="005D6EBC" w:rsidP="005D6EBC">
      <w:pPr>
        <w:pStyle w:val="Bezproreda"/>
        <w:rPr>
          <w:rFonts w:ascii="Times New Roman" w:hAnsi="Times New Roman" w:cs="Times New Roman"/>
        </w:rPr>
      </w:pPr>
      <w:r w:rsidRPr="00E10FBC">
        <w:rPr>
          <w:rFonts w:ascii="Times New Roman" w:hAnsi="Times New Roman" w:cs="Times New Roman"/>
        </w:rPr>
        <w:t xml:space="preserve">      </w:t>
      </w:r>
      <w:r w:rsidR="003D476A" w:rsidRPr="00E10FBC">
        <w:rPr>
          <w:rFonts w:ascii="Times New Roman" w:hAnsi="Times New Roman" w:cs="Times New Roman"/>
        </w:rPr>
        <w:t xml:space="preserve">OPĆINSKO VIJEĆE        </w:t>
      </w:r>
    </w:p>
    <w:p w14:paraId="62F26DCB" w14:textId="26F80389" w:rsidR="005D6EBC" w:rsidRDefault="005D6EBC" w:rsidP="005D6EB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A057C9">
        <w:rPr>
          <w:rFonts w:ascii="Times New Roman" w:hAnsi="Times New Roman" w:cs="Times New Roman"/>
        </w:rPr>
        <w:t>024-04/23-01/11</w:t>
      </w:r>
    </w:p>
    <w:p w14:paraId="096ADDB1" w14:textId="06A9A2E8" w:rsidR="005D6EBC" w:rsidRPr="00E10FBC" w:rsidRDefault="00B33718" w:rsidP="005D6EB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A057C9">
        <w:rPr>
          <w:rFonts w:ascii="Times New Roman" w:hAnsi="Times New Roman" w:cs="Times New Roman"/>
        </w:rPr>
        <w:t>2186-11-23-1</w:t>
      </w:r>
    </w:p>
    <w:p w14:paraId="63C773B7" w14:textId="68DD8BF8" w:rsidR="005D6EBC" w:rsidRPr="009F52D9" w:rsidRDefault="00005B1D" w:rsidP="009F52D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Vinica, </w:t>
      </w:r>
      <w:r w:rsidR="003D476A">
        <w:rPr>
          <w:rFonts w:ascii="Times New Roman" w:hAnsi="Times New Roman" w:cs="Times New Roman"/>
        </w:rPr>
        <w:t xml:space="preserve">  </w:t>
      </w:r>
      <w:r w:rsidR="008D4B48">
        <w:rPr>
          <w:rFonts w:ascii="Times New Roman" w:hAnsi="Times New Roman" w:cs="Times New Roman"/>
        </w:rPr>
        <w:t>17.</w:t>
      </w:r>
      <w:r w:rsidR="003D476A">
        <w:rPr>
          <w:rFonts w:ascii="Times New Roman" w:hAnsi="Times New Roman" w:cs="Times New Roman"/>
        </w:rPr>
        <w:t xml:space="preserve"> ožujak 2023. </w:t>
      </w:r>
    </w:p>
    <w:bookmarkEnd w:id="0"/>
    <w:p w14:paraId="75AF17F5" w14:textId="77777777" w:rsidR="005D6EBC" w:rsidRDefault="005D6EBC" w:rsidP="004062F2"/>
    <w:p w14:paraId="073BB003" w14:textId="44A7D39D" w:rsidR="008D4B48" w:rsidRDefault="005B6EED" w:rsidP="009F52D9">
      <w:pPr>
        <w:jc w:val="both"/>
      </w:pPr>
      <w:r>
        <w:t>Na temelju članka 17. s</w:t>
      </w:r>
      <w:r w:rsidR="00297286">
        <w:t>tavak 1.</w:t>
      </w:r>
      <w:r w:rsidR="00A057C9">
        <w:t xml:space="preserve"> </w:t>
      </w:r>
      <w:r w:rsidR="00297286">
        <w:t>točka 1. Zakona o sustavu civilne zaštite („Narodne novine“ broj 82/15.</w:t>
      </w:r>
      <w:r w:rsidR="00F34385">
        <w:t xml:space="preserve">, 118/18., </w:t>
      </w:r>
      <w:r w:rsidR="00980799">
        <w:t>31/20.</w:t>
      </w:r>
      <w:r w:rsidR="00F34385">
        <w:t xml:space="preserve"> i 20/21.</w:t>
      </w:r>
      <w:r w:rsidR="00297286">
        <w:t>)  i članka 30. Statuta Općine Vinica („Službeni</w:t>
      </w:r>
      <w:r w:rsidR="00980799">
        <w:t xml:space="preserve"> vjesnik Varaždinske županije“ broj 30/20.</w:t>
      </w:r>
      <w:r w:rsidR="00F34385">
        <w:t xml:space="preserve"> i 09/21.</w:t>
      </w:r>
      <w:r w:rsidR="001A5E83">
        <w:t xml:space="preserve">) , </w:t>
      </w:r>
      <w:r w:rsidR="00297286">
        <w:t xml:space="preserve">Općinsko vijeće Općine Vinica </w:t>
      </w:r>
      <w:r w:rsidR="001A5E83">
        <w:t>na sjedn</w:t>
      </w:r>
      <w:r>
        <w:t>ici održanoj dana</w:t>
      </w:r>
    </w:p>
    <w:p w14:paraId="59370218" w14:textId="703F9EFB" w:rsidR="004062F2" w:rsidRDefault="008D4B48" w:rsidP="009F52D9">
      <w:pPr>
        <w:jc w:val="both"/>
      </w:pPr>
      <w:r>
        <w:t>1</w:t>
      </w:r>
      <w:r w:rsidR="003D476A">
        <w:t>7. ožujka 2023.</w:t>
      </w:r>
      <w:r w:rsidR="001A5E83">
        <w:t xml:space="preserve"> godine donosi </w:t>
      </w:r>
    </w:p>
    <w:p w14:paraId="2E5848BB" w14:textId="77777777" w:rsidR="001A5E83" w:rsidRDefault="001A5E83" w:rsidP="004062F2"/>
    <w:p w14:paraId="0BEB0AFF" w14:textId="77777777" w:rsidR="001A5E83" w:rsidRPr="001A5E83" w:rsidRDefault="001A5E83" w:rsidP="001A5E83">
      <w:pPr>
        <w:jc w:val="center"/>
        <w:rPr>
          <w:b/>
        </w:rPr>
      </w:pPr>
      <w:bookmarkStart w:id="1" w:name="_Hlk129340725"/>
      <w:r w:rsidRPr="001A5E83">
        <w:rPr>
          <w:b/>
        </w:rPr>
        <w:t>PLAN</w:t>
      </w:r>
    </w:p>
    <w:p w14:paraId="5311A30A" w14:textId="77777777" w:rsidR="001A5E83" w:rsidRDefault="001A5E83" w:rsidP="001A5E83">
      <w:pPr>
        <w:jc w:val="center"/>
        <w:rPr>
          <w:b/>
        </w:rPr>
      </w:pPr>
      <w:r>
        <w:rPr>
          <w:b/>
        </w:rPr>
        <w:t>r</w:t>
      </w:r>
      <w:r w:rsidRPr="001A5E83">
        <w:rPr>
          <w:b/>
        </w:rPr>
        <w:t>azvoja sustava civi</w:t>
      </w:r>
      <w:r w:rsidR="00D12A81">
        <w:rPr>
          <w:b/>
        </w:rPr>
        <w:t>l</w:t>
      </w:r>
      <w:r w:rsidRPr="001A5E83">
        <w:rPr>
          <w:b/>
        </w:rPr>
        <w:t>ne zaštite</w:t>
      </w:r>
    </w:p>
    <w:p w14:paraId="66A89EA2" w14:textId="33B7AD08" w:rsidR="001A5E83" w:rsidRDefault="001A5E83" w:rsidP="001A5E83">
      <w:pPr>
        <w:jc w:val="center"/>
        <w:rPr>
          <w:b/>
        </w:rPr>
      </w:pPr>
      <w:r w:rsidRPr="001A5E83">
        <w:rPr>
          <w:b/>
        </w:rPr>
        <w:t xml:space="preserve"> n</w:t>
      </w:r>
      <w:r w:rsidR="00F34385">
        <w:rPr>
          <w:b/>
        </w:rPr>
        <w:t>a području Općine Vinica za 202</w:t>
      </w:r>
      <w:r w:rsidR="003D476A">
        <w:rPr>
          <w:b/>
        </w:rPr>
        <w:t>3</w:t>
      </w:r>
      <w:r w:rsidRPr="001A5E83">
        <w:rPr>
          <w:b/>
        </w:rPr>
        <w:t>.</w:t>
      </w:r>
      <w:r w:rsidR="003D476A">
        <w:rPr>
          <w:b/>
        </w:rPr>
        <w:t xml:space="preserve"> </w:t>
      </w:r>
      <w:r w:rsidRPr="001A5E83">
        <w:rPr>
          <w:b/>
        </w:rPr>
        <w:t>godinu</w:t>
      </w:r>
    </w:p>
    <w:p w14:paraId="6DDA8B2F" w14:textId="77777777" w:rsidR="009F52D9" w:rsidRDefault="009F52D9" w:rsidP="001A5E83">
      <w:pPr>
        <w:jc w:val="center"/>
        <w:rPr>
          <w:b/>
        </w:rPr>
      </w:pPr>
      <w:r>
        <w:rPr>
          <w:b/>
        </w:rPr>
        <w:t>s financijskim učincima za trogodišnje razdoblje</w:t>
      </w:r>
    </w:p>
    <w:bookmarkEnd w:id="1"/>
    <w:p w14:paraId="741A7E36" w14:textId="77777777" w:rsidR="001A5E83" w:rsidRDefault="001A5E83" w:rsidP="001A5E83">
      <w:pPr>
        <w:jc w:val="both"/>
      </w:pPr>
    </w:p>
    <w:p w14:paraId="3768CC70" w14:textId="77777777" w:rsidR="001A5E83" w:rsidRDefault="001A5E83" w:rsidP="001A5E83">
      <w:pPr>
        <w:jc w:val="both"/>
      </w:pPr>
      <w:r>
        <w:t>I. UVOD</w:t>
      </w:r>
    </w:p>
    <w:p w14:paraId="4A77B10A" w14:textId="77777777" w:rsidR="001A5E83" w:rsidRDefault="001A5E83" w:rsidP="001A5E83">
      <w:pPr>
        <w:jc w:val="both"/>
      </w:pPr>
    </w:p>
    <w:p w14:paraId="6CCFA9FE" w14:textId="77777777" w:rsidR="001A5E83" w:rsidRDefault="001A5E83" w:rsidP="001A5E83">
      <w:pPr>
        <w:jc w:val="both"/>
      </w:pPr>
      <w:r>
        <w:t xml:space="preserve">Sukladno </w:t>
      </w:r>
      <w:r w:rsidRPr="00F34385">
        <w:t>odre</w:t>
      </w:r>
      <w:r w:rsidR="00797D5E" w:rsidRPr="00F34385">
        <w:t>d</w:t>
      </w:r>
      <w:r w:rsidRPr="00F34385">
        <w:t xml:space="preserve">bama </w:t>
      </w:r>
      <w:r>
        <w:t>Zak</w:t>
      </w:r>
      <w:r w:rsidR="006E13F5">
        <w:t>ona o sustavu civilne zaštite („N</w:t>
      </w:r>
      <w:r>
        <w:t xml:space="preserve">arodne novine“ broj </w:t>
      </w:r>
      <w:r w:rsidR="006E13F5">
        <w:t>82/15.</w:t>
      </w:r>
      <w:r w:rsidR="00980799">
        <w:t>, 118/18. i  31/20</w:t>
      </w:r>
      <w:r w:rsidR="00F34385">
        <w:t>. i 20/21.</w:t>
      </w:r>
      <w:r w:rsidR="006E13F5">
        <w:t xml:space="preserve">) , Općinsko vijeće dužno je </w:t>
      </w:r>
      <w:r w:rsidR="007C517C">
        <w:t>razmotriti i usvojiti godišnju analizu stanja i godišnji plan razvoja sustava civilne zaštite s financijskim učincima te usvojiti smjernice za organizaciju i razvoj sustava civilne zaštite za razdoblje od 4 godine.</w:t>
      </w:r>
    </w:p>
    <w:p w14:paraId="75B95B8C" w14:textId="4978148F" w:rsidR="007C517C" w:rsidRDefault="007C517C" w:rsidP="001A5E83">
      <w:pPr>
        <w:jc w:val="both"/>
      </w:pPr>
      <w:r>
        <w:t>Plan razvoja civilne zaštite Općine Vinica donosi se na temelju Analize stanja</w:t>
      </w:r>
      <w:r w:rsidR="00F34385">
        <w:t xml:space="preserve"> sustava civilne zaštite za 202</w:t>
      </w:r>
      <w:r w:rsidR="003D476A">
        <w:t>2</w:t>
      </w:r>
      <w:r>
        <w:t xml:space="preserve">. </w:t>
      </w:r>
      <w:r w:rsidR="00DA76CD">
        <w:t>g</w:t>
      </w:r>
      <w:r>
        <w:t>odinu</w:t>
      </w:r>
      <w:r w:rsidR="00DA76CD">
        <w:t xml:space="preserve">. </w:t>
      </w:r>
    </w:p>
    <w:p w14:paraId="62FA07D0" w14:textId="4D182E5E" w:rsidR="00DA76CD" w:rsidRDefault="00DA76CD" w:rsidP="001A5E83">
      <w:pPr>
        <w:jc w:val="both"/>
      </w:pPr>
      <w:r>
        <w:t xml:space="preserve">Plan razvoja sustava civilne zaštite </w:t>
      </w:r>
      <w:r w:rsidR="009F52D9">
        <w:t xml:space="preserve"> sadrži ciljeve</w:t>
      </w:r>
      <w:r>
        <w:t xml:space="preserve"> utvrđene smjernicama za organizaciju i razvoj sustava civilne zaštite te </w:t>
      </w:r>
      <w:r w:rsidR="003A27CC">
        <w:t>mjere i aktivno</w:t>
      </w:r>
      <w:r w:rsidR="005B6EED">
        <w:t>sti koje</w:t>
      </w:r>
      <w:r w:rsidR="00AC3DF2">
        <w:t xml:space="preserve"> </w:t>
      </w:r>
      <w:r w:rsidR="00980799">
        <w:t xml:space="preserve">će se </w:t>
      </w:r>
      <w:r w:rsidR="00F34385">
        <w:t>poduzimati u 202</w:t>
      </w:r>
      <w:r w:rsidR="003D476A">
        <w:t>3</w:t>
      </w:r>
      <w:r w:rsidR="003A27CC">
        <w:t>. godini.</w:t>
      </w:r>
    </w:p>
    <w:p w14:paraId="2D0A9D71" w14:textId="77777777" w:rsidR="003A27CC" w:rsidRDefault="003A27CC" w:rsidP="001A5E83">
      <w:pPr>
        <w:jc w:val="both"/>
      </w:pPr>
    </w:p>
    <w:p w14:paraId="0B46BA97" w14:textId="77777777" w:rsidR="003A27CC" w:rsidRDefault="009F52D9" w:rsidP="001A5E83">
      <w:pPr>
        <w:jc w:val="both"/>
      </w:pPr>
      <w:r>
        <w:t>II</w:t>
      </w:r>
      <w:r w:rsidR="003A27CC">
        <w:t xml:space="preserve">. PLANSKI DOKUMENTI </w:t>
      </w:r>
    </w:p>
    <w:p w14:paraId="3370F1B9" w14:textId="77777777" w:rsidR="003A27CC" w:rsidRDefault="003A27CC" w:rsidP="001A5E83">
      <w:pPr>
        <w:jc w:val="both"/>
      </w:pPr>
    </w:p>
    <w:p w14:paraId="0EF608E6" w14:textId="4D2F8B3D" w:rsidR="007E4574" w:rsidRDefault="003A27CC" w:rsidP="007E4574">
      <w:pPr>
        <w:jc w:val="both"/>
      </w:pPr>
      <w:r>
        <w:t xml:space="preserve">a) Općina Vinica ima izrađenu Procjenu </w:t>
      </w:r>
      <w:r w:rsidR="00224B3C">
        <w:t xml:space="preserve">rizika od velikih nesreća na području Općine Vinica </w:t>
      </w:r>
      <w:r>
        <w:t xml:space="preserve">koju je Općinsko vijeće usvojilo na </w:t>
      </w:r>
      <w:r w:rsidR="00224B3C">
        <w:t>sjed</w:t>
      </w:r>
      <w:r w:rsidR="003328E4">
        <w:t xml:space="preserve">nici održanoj dana 28. prosinca </w:t>
      </w:r>
      <w:r w:rsidR="00224B3C">
        <w:t>2018</w:t>
      </w:r>
      <w:r>
        <w:t>.</w:t>
      </w:r>
      <w:r w:rsidR="003D476A">
        <w:t xml:space="preserve"> </w:t>
      </w:r>
      <w:r>
        <w:t>godine</w:t>
      </w:r>
      <w:r w:rsidR="007E4574">
        <w:t xml:space="preserve">, </w:t>
      </w:r>
      <w:r w:rsidR="007E4574" w:rsidRPr="003328E4">
        <w:t xml:space="preserve">Plan </w:t>
      </w:r>
      <w:r w:rsidR="003328E4" w:rsidRPr="003328E4">
        <w:t xml:space="preserve">djelovanja </w:t>
      </w:r>
      <w:r w:rsidR="007E4574" w:rsidRPr="003328E4">
        <w:t>civilne zaštite</w:t>
      </w:r>
      <w:r w:rsidR="003328E4">
        <w:t xml:space="preserve"> </w:t>
      </w:r>
      <w:r w:rsidR="007E4574" w:rsidRPr="003328E4">
        <w:t xml:space="preserve"> </w:t>
      </w:r>
      <w:r w:rsidR="003328E4">
        <w:t>Općine Vinica usvojen</w:t>
      </w:r>
      <w:r w:rsidR="007E4574">
        <w:t xml:space="preserve"> na sj</w:t>
      </w:r>
      <w:r w:rsidR="003328E4">
        <w:t>ednici Općinskog vijeća od 09.12.2020</w:t>
      </w:r>
      <w:r w:rsidR="007E4574">
        <w:t>. godine i  Procjenu  opasnosti od požara  i Plan zaštite od požara  koje je Općinsko vijeće usvojilo dana 16.06.2015.</w:t>
      </w:r>
      <w:r w:rsidR="003D476A">
        <w:t xml:space="preserve"> </w:t>
      </w:r>
      <w:r w:rsidR="007E4574">
        <w:t>godine</w:t>
      </w:r>
    </w:p>
    <w:p w14:paraId="0FC005FF" w14:textId="77777777" w:rsidR="007E4574" w:rsidRDefault="007E4574" w:rsidP="007E4574">
      <w:pPr>
        <w:jc w:val="both"/>
      </w:pPr>
    </w:p>
    <w:p w14:paraId="54B2C214" w14:textId="756DFA29" w:rsidR="007E4574" w:rsidRPr="006D229F" w:rsidRDefault="007E4574" w:rsidP="007E4574">
      <w:pPr>
        <w:jc w:val="both"/>
        <w:rPr>
          <w:b/>
          <w:i/>
        </w:rPr>
      </w:pPr>
      <w:r w:rsidRPr="006D229F">
        <w:rPr>
          <w:b/>
          <w:i/>
        </w:rPr>
        <w:t>Planirane aktiv</w:t>
      </w:r>
      <w:r w:rsidR="00A057C9">
        <w:rPr>
          <w:b/>
          <w:i/>
        </w:rPr>
        <w:t>n</w:t>
      </w:r>
      <w:r w:rsidRPr="006D229F">
        <w:rPr>
          <w:b/>
          <w:i/>
        </w:rPr>
        <w:t xml:space="preserve">osti : </w:t>
      </w:r>
    </w:p>
    <w:p w14:paraId="68CC6D2D" w14:textId="77777777" w:rsidR="00C503DE" w:rsidRDefault="00C503DE" w:rsidP="007E4574">
      <w:pPr>
        <w:jc w:val="both"/>
      </w:pPr>
    </w:p>
    <w:p w14:paraId="0585577B" w14:textId="77777777" w:rsidR="00C503DE" w:rsidRDefault="007E4574" w:rsidP="007E4574">
      <w:pPr>
        <w:jc w:val="both"/>
      </w:pPr>
      <w:r>
        <w:t xml:space="preserve">Općinsko vijeće  donosi : </w:t>
      </w:r>
    </w:p>
    <w:p w14:paraId="6779AE06" w14:textId="77777777" w:rsidR="00C503DE" w:rsidRDefault="00C503DE" w:rsidP="007E4574">
      <w:pPr>
        <w:jc w:val="both"/>
      </w:pPr>
      <w:r>
        <w:t>1. Analizu stanja sustava civilne zaštite</w:t>
      </w:r>
    </w:p>
    <w:p w14:paraId="4215F9B1" w14:textId="77777777" w:rsidR="00C503DE" w:rsidRDefault="00C503DE" w:rsidP="007E4574">
      <w:pPr>
        <w:jc w:val="both"/>
      </w:pPr>
      <w:r>
        <w:t>2. Godišnji plan razvoja sustava civilne zaštite  s financijskim učincima za trogodišnje razdoblje</w:t>
      </w:r>
    </w:p>
    <w:p w14:paraId="6018C926" w14:textId="77777777" w:rsidR="00857F1C" w:rsidRDefault="00224B3C" w:rsidP="007E4574">
      <w:pPr>
        <w:jc w:val="both"/>
      </w:pPr>
      <w:r>
        <w:t xml:space="preserve">3. </w:t>
      </w:r>
      <w:r w:rsidR="00857F1C">
        <w:t>Smjernice za organizaciju i razvoj sustava civilne zaštite za razdoblje od  4 godine</w:t>
      </w:r>
    </w:p>
    <w:p w14:paraId="31E9AC71" w14:textId="77777777" w:rsidR="007E4574" w:rsidRDefault="00224B3C" w:rsidP="007E4574">
      <w:pPr>
        <w:jc w:val="both"/>
      </w:pPr>
      <w:r>
        <w:t>4</w:t>
      </w:r>
      <w:r w:rsidR="00C503DE">
        <w:t>. Odluku o određivanju pravnih osoba od interesa za sustav civilne zaštite</w:t>
      </w:r>
    </w:p>
    <w:p w14:paraId="6C894BA2" w14:textId="77777777" w:rsidR="00857F1C" w:rsidRDefault="00224B3C" w:rsidP="007E4574">
      <w:pPr>
        <w:jc w:val="both"/>
      </w:pPr>
      <w:r>
        <w:t>5</w:t>
      </w:r>
      <w:r w:rsidR="00857F1C">
        <w:t>. Procjenu rizika od velikih nesreća i Plan djelovanja civilne zaštite</w:t>
      </w:r>
    </w:p>
    <w:p w14:paraId="6A2764DC" w14:textId="77777777" w:rsidR="001E645E" w:rsidRDefault="001E645E" w:rsidP="007E4574">
      <w:pPr>
        <w:jc w:val="both"/>
      </w:pPr>
    </w:p>
    <w:p w14:paraId="0455320E" w14:textId="77777777" w:rsidR="00C503DE" w:rsidRDefault="00C503DE" w:rsidP="007E4574">
      <w:pPr>
        <w:jc w:val="both"/>
      </w:pPr>
    </w:p>
    <w:p w14:paraId="536DE64D" w14:textId="77777777" w:rsidR="00C503DE" w:rsidRPr="006D229F" w:rsidRDefault="00F27780" w:rsidP="007E4574">
      <w:pPr>
        <w:jc w:val="both"/>
        <w:rPr>
          <w:b/>
          <w:i/>
        </w:rPr>
      </w:pPr>
      <w:r w:rsidRPr="006D229F">
        <w:rPr>
          <w:b/>
          <w:i/>
        </w:rPr>
        <w:t>Općinski načelnik</w:t>
      </w:r>
      <w:r w:rsidR="006D229F">
        <w:rPr>
          <w:b/>
          <w:i/>
        </w:rPr>
        <w:t xml:space="preserve"> donosi </w:t>
      </w:r>
      <w:r w:rsidRPr="006D229F">
        <w:rPr>
          <w:b/>
          <w:i/>
        </w:rPr>
        <w:t xml:space="preserve"> :</w:t>
      </w:r>
    </w:p>
    <w:p w14:paraId="3A29000C" w14:textId="77777777" w:rsidR="00F27780" w:rsidRDefault="00F27780" w:rsidP="007E4574">
      <w:pPr>
        <w:jc w:val="both"/>
      </w:pPr>
      <w:r>
        <w:t xml:space="preserve">2. Plan vježbi civilne zaštite </w:t>
      </w:r>
    </w:p>
    <w:p w14:paraId="51F3B1A9" w14:textId="77777777" w:rsidR="00F27780" w:rsidRDefault="00F27780" w:rsidP="007E4574">
      <w:pPr>
        <w:jc w:val="both"/>
      </w:pPr>
      <w:r>
        <w:t>3. Plan djelovanja civilne zaštite</w:t>
      </w:r>
    </w:p>
    <w:p w14:paraId="0CF3906A" w14:textId="77777777" w:rsidR="00F27780" w:rsidRDefault="00F27780" w:rsidP="007E4574">
      <w:pPr>
        <w:jc w:val="both"/>
      </w:pPr>
    </w:p>
    <w:p w14:paraId="76F7FB2F" w14:textId="77777777" w:rsidR="00F27780" w:rsidRDefault="009F52D9" w:rsidP="007E4574">
      <w:pPr>
        <w:jc w:val="both"/>
      </w:pPr>
      <w:r>
        <w:t>III</w:t>
      </w:r>
      <w:r w:rsidR="00F27780">
        <w:t xml:space="preserve">. OPERATIVNE SNAGE </w:t>
      </w:r>
    </w:p>
    <w:p w14:paraId="226C419F" w14:textId="77777777" w:rsidR="003F0BC5" w:rsidRDefault="003F0BC5" w:rsidP="007E4574">
      <w:pPr>
        <w:jc w:val="both"/>
      </w:pPr>
    </w:p>
    <w:p w14:paraId="2E1E3ADE" w14:textId="77777777" w:rsidR="00F27780" w:rsidRDefault="003F0BC5" w:rsidP="007E4574">
      <w:pPr>
        <w:jc w:val="both"/>
      </w:pPr>
      <w:r w:rsidRPr="006D229F">
        <w:rPr>
          <w:b/>
          <w:u w:val="single"/>
        </w:rPr>
        <w:t>1. Stožer civilne zaštite</w:t>
      </w:r>
      <w:r w:rsidR="00005B1D">
        <w:t xml:space="preserve">  - provo</w:t>
      </w:r>
      <w:r w:rsidR="00224B3C">
        <w:t>diti  usavršavanje i  edukaciju</w:t>
      </w:r>
      <w:r>
        <w:t xml:space="preserve">  članova Stožera civilne zaštite o:</w:t>
      </w:r>
    </w:p>
    <w:p w14:paraId="58C522C6" w14:textId="77777777" w:rsidR="003F0BC5" w:rsidRDefault="003F0BC5" w:rsidP="007E4574">
      <w:pPr>
        <w:jc w:val="both"/>
      </w:pPr>
      <w:r>
        <w:t>- mjerama sustava civilne zaštite</w:t>
      </w:r>
    </w:p>
    <w:p w14:paraId="1DD3F4C0" w14:textId="77777777" w:rsidR="003F0BC5" w:rsidRDefault="003F0BC5" w:rsidP="007E4574">
      <w:pPr>
        <w:jc w:val="both"/>
      </w:pPr>
      <w:r>
        <w:t xml:space="preserve">- </w:t>
      </w:r>
      <w:r w:rsidR="006D702C">
        <w:t>ustrojavanju</w:t>
      </w:r>
      <w:r>
        <w:t xml:space="preserve"> sustava civilne zaštite</w:t>
      </w:r>
    </w:p>
    <w:p w14:paraId="67613606" w14:textId="77777777" w:rsidR="006D702C" w:rsidRDefault="006D702C" w:rsidP="007E4574">
      <w:pPr>
        <w:jc w:val="both"/>
      </w:pPr>
      <w:r>
        <w:t>- djelovanju sustava civilne zaštite i načelima sustava civilne zaštite</w:t>
      </w:r>
    </w:p>
    <w:p w14:paraId="176280F0" w14:textId="77777777" w:rsidR="003F0BC5" w:rsidRDefault="006D702C" w:rsidP="007E4574">
      <w:pPr>
        <w:jc w:val="both"/>
      </w:pPr>
      <w:r>
        <w:t xml:space="preserve">- obvezama Općine Vinica u provođenju zakonskih obveza vezanih uz civilnu zaštitu </w:t>
      </w:r>
    </w:p>
    <w:p w14:paraId="38F93B39" w14:textId="77777777" w:rsidR="00CA1FB8" w:rsidRDefault="00CA1FB8" w:rsidP="003A27CC">
      <w:pPr>
        <w:jc w:val="both"/>
      </w:pPr>
    </w:p>
    <w:p w14:paraId="4C61D0D9" w14:textId="77777777" w:rsidR="00CA1FB8" w:rsidRPr="001B4597" w:rsidRDefault="00980799" w:rsidP="003A27CC">
      <w:pPr>
        <w:jc w:val="both"/>
        <w:rPr>
          <w:b/>
          <w:u w:val="single"/>
        </w:rPr>
      </w:pPr>
      <w:r>
        <w:rPr>
          <w:b/>
          <w:u w:val="single"/>
        </w:rPr>
        <w:t>2</w:t>
      </w:r>
      <w:r w:rsidR="00CA1FB8" w:rsidRPr="001B4597">
        <w:rPr>
          <w:b/>
          <w:u w:val="single"/>
        </w:rPr>
        <w:t xml:space="preserve">. Povjerenici civilne zaštite </w:t>
      </w:r>
    </w:p>
    <w:p w14:paraId="5F95F82F" w14:textId="77777777" w:rsidR="003A27CC" w:rsidRDefault="00F678E2" w:rsidP="001A5E83">
      <w:pPr>
        <w:jc w:val="both"/>
      </w:pPr>
      <w:r>
        <w:t>S ciljem povećanja spremnosti i mogućnosti djelovanja u provođenju akcija zaštit</w:t>
      </w:r>
      <w:r w:rsidR="001B4597">
        <w:t>a i spašavanja planira s</w:t>
      </w:r>
      <w:r>
        <w:t>e</w:t>
      </w:r>
      <w:r w:rsidR="00005B1D">
        <w:t xml:space="preserve"> zamjena određenih</w:t>
      </w:r>
      <w:r w:rsidR="00980799">
        <w:t xml:space="preserve"> povjerenika/ili zamjenika, zbog njihovog preseljenja, bolesti i sl.</w:t>
      </w:r>
      <w:r w:rsidR="00005B1D">
        <w:t xml:space="preserve"> kao i </w:t>
      </w:r>
      <w:r>
        <w:t xml:space="preserve"> </w:t>
      </w:r>
      <w:r w:rsidR="00FE24F2">
        <w:t>educiran</w:t>
      </w:r>
      <w:r w:rsidR="001B4597">
        <w:t xml:space="preserve">je povjerenika o njihovim  obvezama </w:t>
      </w:r>
      <w:r w:rsidR="00FE24F2">
        <w:t xml:space="preserve"> prop</w:t>
      </w:r>
      <w:r w:rsidR="001B4597">
        <w:t>isanim Z</w:t>
      </w:r>
      <w:r w:rsidR="00FE24F2">
        <w:t>akonom o sustavu civilne zaštite</w:t>
      </w:r>
    </w:p>
    <w:p w14:paraId="175F1DBC" w14:textId="77777777" w:rsidR="00B330CC" w:rsidRDefault="00B330CC" w:rsidP="00B330CC">
      <w:pPr>
        <w:jc w:val="both"/>
      </w:pPr>
    </w:p>
    <w:p w14:paraId="37047609" w14:textId="77777777" w:rsidR="00B330CC" w:rsidRPr="00005B1D" w:rsidRDefault="00B330CC" w:rsidP="00B330CC">
      <w:pPr>
        <w:jc w:val="both"/>
      </w:pPr>
      <w:r w:rsidRPr="00005B1D">
        <w:t>Nositelj aktivnosti</w:t>
      </w:r>
      <w:r w:rsidR="00005B1D" w:rsidRPr="00005B1D">
        <w:t xml:space="preserve"> </w:t>
      </w:r>
      <w:r w:rsidRPr="00005B1D">
        <w:t>: Općina Vinica</w:t>
      </w:r>
    </w:p>
    <w:p w14:paraId="41310EB6" w14:textId="77777777" w:rsidR="00B330CC" w:rsidRPr="003328E4" w:rsidRDefault="00B330CC" w:rsidP="00B330CC">
      <w:pPr>
        <w:jc w:val="both"/>
      </w:pPr>
      <w:r w:rsidRPr="00005B1D">
        <w:t>Izvršitelj aktivnosti</w:t>
      </w:r>
      <w:r>
        <w:t xml:space="preserve"> : Stožer civilne zaštit</w:t>
      </w:r>
      <w:r w:rsidR="00980799">
        <w:t xml:space="preserve">e u suradnji sa  </w:t>
      </w:r>
      <w:r w:rsidR="003328E4">
        <w:t xml:space="preserve">Područnim </w:t>
      </w:r>
      <w:r w:rsidR="003328E4" w:rsidRPr="003328E4">
        <w:t>uredom civilne zaštite Varaždin</w:t>
      </w:r>
    </w:p>
    <w:p w14:paraId="120E34FC" w14:textId="77777777" w:rsidR="00B330CC" w:rsidRPr="00FB083A" w:rsidRDefault="00B330CC" w:rsidP="00B330CC">
      <w:pPr>
        <w:jc w:val="both"/>
      </w:pPr>
    </w:p>
    <w:p w14:paraId="46136B5B" w14:textId="77777777" w:rsidR="00FE24F2" w:rsidRDefault="00FE24F2" w:rsidP="001A5E83">
      <w:pPr>
        <w:jc w:val="both"/>
      </w:pPr>
    </w:p>
    <w:p w14:paraId="720A6AA8" w14:textId="77777777" w:rsidR="00FE24F2" w:rsidRPr="001B4597" w:rsidRDefault="00FE24F2" w:rsidP="001A5E83">
      <w:pPr>
        <w:jc w:val="both"/>
        <w:rPr>
          <w:b/>
          <w:u w:val="single"/>
        </w:rPr>
      </w:pPr>
      <w:r w:rsidRPr="001B4597">
        <w:rPr>
          <w:b/>
          <w:u w:val="single"/>
        </w:rPr>
        <w:t xml:space="preserve">4. Operativne snage vatrogastva </w:t>
      </w:r>
    </w:p>
    <w:p w14:paraId="14AA9EC1" w14:textId="77777777" w:rsidR="00FE24F2" w:rsidRDefault="002A6BA0" w:rsidP="00FE24F2">
      <w:pPr>
        <w:ind w:firstLine="708"/>
        <w:jc w:val="both"/>
      </w:pPr>
      <w:r>
        <w:t>Operativne snage vatrogastva n</w:t>
      </w:r>
      <w:r w:rsidR="00FE24F2">
        <w:t xml:space="preserve">a području Općine Vinica </w:t>
      </w:r>
      <w:r>
        <w:t xml:space="preserve"> čini </w:t>
      </w:r>
      <w:r w:rsidR="00FE24F2">
        <w:t xml:space="preserve"> Vatrogasna zajednica Općine Vinica koju čine 3 dobrovoljna vatrogasna društva :</w:t>
      </w:r>
    </w:p>
    <w:p w14:paraId="7098FEFE" w14:textId="77777777" w:rsidR="00FE24F2" w:rsidRDefault="00FE24F2" w:rsidP="00FE24F2">
      <w:pPr>
        <w:ind w:firstLine="708"/>
        <w:jc w:val="both"/>
      </w:pPr>
      <w:r>
        <w:t>1, DVD Vinica</w:t>
      </w:r>
    </w:p>
    <w:p w14:paraId="387B4EE9" w14:textId="77777777" w:rsidR="00FE24F2" w:rsidRDefault="00FE24F2" w:rsidP="00FE24F2">
      <w:pPr>
        <w:ind w:firstLine="708"/>
        <w:jc w:val="both"/>
      </w:pPr>
      <w:r>
        <w:t>2. DVD Gornje Ladanje</w:t>
      </w:r>
    </w:p>
    <w:p w14:paraId="6D8F0534" w14:textId="77777777" w:rsidR="00FE24F2" w:rsidRDefault="00FE24F2" w:rsidP="00FE24F2">
      <w:pPr>
        <w:ind w:firstLine="708"/>
        <w:jc w:val="both"/>
      </w:pPr>
      <w:r>
        <w:t>3. DVD Donje Vratno</w:t>
      </w:r>
    </w:p>
    <w:p w14:paraId="22C77D73" w14:textId="77777777" w:rsidR="001A5E83" w:rsidRPr="001A5E83" w:rsidRDefault="001A5E83" w:rsidP="00704BA1">
      <w:pPr>
        <w:rPr>
          <w:b/>
        </w:rPr>
      </w:pPr>
    </w:p>
    <w:p w14:paraId="5A246B6F" w14:textId="77777777" w:rsidR="00E35807" w:rsidRDefault="002A6BA0" w:rsidP="004062F2">
      <w:r>
        <w:t xml:space="preserve">Planirane aktivnosti : </w:t>
      </w:r>
    </w:p>
    <w:p w14:paraId="423A662E" w14:textId="77777777" w:rsidR="00704BA1" w:rsidRDefault="002A6BA0" w:rsidP="004062F2">
      <w:r>
        <w:t>- aktivnosti prema programu rada (</w:t>
      </w:r>
      <w:r w:rsidR="00F7049C">
        <w:t>osposobljavanja i liječnički pregledi</w:t>
      </w:r>
      <w:r w:rsidR="00E35807">
        <w:t xml:space="preserve">, vježbe, natjecanja,  </w:t>
      </w:r>
      <w:r w:rsidR="00704BA1">
        <w:t xml:space="preserve">   </w:t>
      </w:r>
    </w:p>
    <w:p w14:paraId="556EB8EB" w14:textId="77777777" w:rsidR="002A6BA0" w:rsidRDefault="00704BA1" w:rsidP="004062F2">
      <w:r>
        <w:t xml:space="preserve">  </w:t>
      </w:r>
      <w:r w:rsidR="00E35807">
        <w:t>dežurstva, intervencije</w:t>
      </w:r>
      <w:r w:rsidR="00F7049C">
        <w:t>)</w:t>
      </w:r>
    </w:p>
    <w:p w14:paraId="13B8F0C8" w14:textId="77777777" w:rsidR="00F7049C" w:rsidRDefault="00F7049C" w:rsidP="004062F2"/>
    <w:p w14:paraId="38F9E13A" w14:textId="77777777" w:rsidR="00E35807" w:rsidRDefault="00E35807" w:rsidP="004062F2">
      <w:r w:rsidRPr="001D1D28">
        <w:rPr>
          <w:b/>
        </w:rPr>
        <w:t>Nositelj:</w:t>
      </w:r>
      <w:r>
        <w:t xml:space="preserve"> Vatrogasna zajednica Općine Vinica i  dobrovoljna vatrogasna društva</w:t>
      </w:r>
    </w:p>
    <w:p w14:paraId="65424D3A" w14:textId="77777777" w:rsidR="00E35807" w:rsidRDefault="00E35807" w:rsidP="004062F2"/>
    <w:p w14:paraId="3B999E23" w14:textId="77777777" w:rsidR="009315E2" w:rsidRDefault="009315E2" w:rsidP="007E3F29">
      <w:pPr>
        <w:jc w:val="both"/>
        <w:rPr>
          <w:b/>
        </w:rPr>
      </w:pPr>
    </w:p>
    <w:p w14:paraId="0F54660E" w14:textId="77777777" w:rsidR="009315E2" w:rsidRPr="00704BA1" w:rsidRDefault="00B73FD0" w:rsidP="007E3F29">
      <w:pPr>
        <w:jc w:val="both"/>
        <w:rPr>
          <w:b/>
          <w:u w:val="single"/>
        </w:rPr>
      </w:pPr>
      <w:r>
        <w:rPr>
          <w:b/>
          <w:u w:val="single"/>
        </w:rPr>
        <w:t>5</w:t>
      </w:r>
      <w:r w:rsidR="009315E2" w:rsidRPr="00704BA1">
        <w:rPr>
          <w:b/>
          <w:u w:val="single"/>
        </w:rPr>
        <w:t xml:space="preserve">. </w:t>
      </w:r>
      <w:r w:rsidR="00B96CE2" w:rsidRPr="00704BA1">
        <w:rPr>
          <w:b/>
          <w:u w:val="single"/>
        </w:rPr>
        <w:t xml:space="preserve">Pravne osobe i ostali subjekti koji će biti angažirani na zaštiti i spašavanju </w:t>
      </w:r>
    </w:p>
    <w:p w14:paraId="33DBE98C" w14:textId="77777777" w:rsidR="00B96CE2" w:rsidRDefault="00B96CE2" w:rsidP="007E3F29">
      <w:pPr>
        <w:jc w:val="both"/>
        <w:rPr>
          <w:b/>
        </w:rPr>
      </w:pPr>
    </w:p>
    <w:p w14:paraId="169B7E1F" w14:textId="77777777" w:rsidR="00B96CE2" w:rsidRDefault="00B96CE2" w:rsidP="007E3F29">
      <w:pPr>
        <w:jc w:val="both"/>
      </w:pPr>
      <w:r>
        <w:t xml:space="preserve">    Općinsko vijeće Odlukom</w:t>
      </w:r>
      <w:r w:rsidR="003328E4">
        <w:t xml:space="preserve"> od   28.12.2018. </w:t>
      </w:r>
      <w:r w:rsidR="00980799">
        <w:t xml:space="preserve">utvrdilo je </w:t>
      </w:r>
      <w:r>
        <w:t xml:space="preserve"> pravne osobe od interesa za sustav civilne zaštite </w:t>
      </w:r>
      <w:r w:rsidR="0048713B">
        <w:t>.</w:t>
      </w:r>
    </w:p>
    <w:p w14:paraId="66423211" w14:textId="77777777" w:rsidR="0048713B" w:rsidRDefault="0048713B" w:rsidP="007E3F29">
      <w:pPr>
        <w:jc w:val="both"/>
      </w:pPr>
    </w:p>
    <w:p w14:paraId="1487A8F8" w14:textId="77777777" w:rsidR="0048713B" w:rsidRPr="0048713B" w:rsidRDefault="0048713B" w:rsidP="007E3F29">
      <w:pPr>
        <w:jc w:val="both"/>
        <w:rPr>
          <w:b/>
        </w:rPr>
      </w:pPr>
      <w:r w:rsidRPr="0048713B">
        <w:rPr>
          <w:b/>
        </w:rPr>
        <w:t xml:space="preserve">Planirane aktivnosti : </w:t>
      </w:r>
    </w:p>
    <w:p w14:paraId="3369F00F" w14:textId="33FD949A" w:rsidR="0048713B" w:rsidRDefault="0048713B" w:rsidP="007E3F29">
      <w:pPr>
        <w:jc w:val="both"/>
      </w:pPr>
      <w:r>
        <w:t>- održati sastanak sa pravnim osobama od interesa za sustav civilne zaštite</w:t>
      </w:r>
    </w:p>
    <w:p w14:paraId="223AB1F0" w14:textId="77777777" w:rsidR="003D476A" w:rsidRDefault="003D476A" w:rsidP="007E3F29">
      <w:pPr>
        <w:jc w:val="both"/>
      </w:pPr>
    </w:p>
    <w:p w14:paraId="022B519C" w14:textId="77777777" w:rsidR="0048713B" w:rsidRDefault="0048713B" w:rsidP="007E3F29">
      <w:pPr>
        <w:jc w:val="both"/>
      </w:pPr>
    </w:p>
    <w:p w14:paraId="5E941D5C" w14:textId="77777777" w:rsidR="00A057C9" w:rsidRDefault="00A057C9" w:rsidP="007E3F29">
      <w:pPr>
        <w:jc w:val="both"/>
        <w:rPr>
          <w:b/>
        </w:rPr>
      </w:pPr>
    </w:p>
    <w:p w14:paraId="29D7536A" w14:textId="77777777" w:rsidR="00A057C9" w:rsidRDefault="00A057C9" w:rsidP="007E3F29">
      <w:pPr>
        <w:jc w:val="both"/>
        <w:rPr>
          <w:b/>
        </w:rPr>
      </w:pPr>
    </w:p>
    <w:p w14:paraId="52E67F33" w14:textId="73374176" w:rsidR="0048713B" w:rsidRPr="005E6498" w:rsidRDefault="0048713B" w:rsidP="007E3F29">
      <w:pPr>
        <w:jc w:val="both"/>
        <w:rPr>
          <w:b/>
        </w:rPr>
      </w:pPr>
      <w:r w:rsidRPr="005E6498">
        <w:rPr>
          <w:b/>
        </w:rPr>
        <w:lastRenderedPageBreak/>
        <w:t>Nositelj aktivnosti : Općina Vinica</w:t>
      </w:r>
    </w:p>
    <w:p w14:paraId="6FAAA3D7" w14:textId="77777777" w:rsidR="00F17F88" w:rsidRDefault="00F17F88" w:rsidP="007E3F29">
      <w:pPr>
        <w:jc w:val="both"/>
      </w:pPr>
    </w:p>
    <w:p w14:paraId="005C578F" w14:textId="77777777" w:rsidR="00F17F88" w:rsidRPr="00862F5F" w:rsidRDefault="00B73FD0" w:rsidP="007E3F29">
      <w:pPr>
        <w:jc w:val="both"/>
        <w:rPr>
          <w:b/>
          <w:u w:val="single"/>
        </w:rPr>
      </w:pPr>
      <w:r>
        <w:rPr>
          <w:b/>
          <w:u w:val="single"/>
        </w:rPr>
        <w:t>6</w:t>
      </w:r>
      <w:r w:rsidR="00F17F88" w:rsidRPr="00862F5F">
        <w:rPr>
          <w:b/>
          <w:u w:val="single"/>
        </w:rPr>
        <w:t xml:space="preserve">. Udruge građana </w:t>
      </w:r>
    </w:p>
    <w:p w14:paraId="7197C484" w14:textId="77777777" w:rsidR="00F17F88" w:rsidRDefault="00F17F88" w:rsidP="007E3F29">
      <w:pPr>
        <w:jc w:val="both"/>
      </w:pPr>
      <w:r>
        <w:t xml:space="preserve"> </w:t>
      </w:r>
      <w:r w:rsidR="002C107D">
        <w:t xml:space="preserve">   Na području Općine Vinica djeluju udruge od zna</w:t>
      </w:r>
      <w:r w:rsidR="00862F5F">
        <w:t>čaja za civilnu zaštitu, prije svega</w:t>
      </w:r>
      <w:r w:rsidR="002C107D">
        <w:t xml:space="preserve">  Lovačka udruga „Opeka“ i Športski ribolovni klub Vinica.</w:t>
      </w:r>
    </w:p>
    <w:p w14:paraId="665AE54D" w14:textId="77777777" w:rsidR="002C107D" w:rsidRDefault="002C107D" w:rsidP="007E3F29">
      <w:pPr>
        <w:jc w:val="both"/>
      </w:pPr>
    </w:p>
    <w:p w14:paraId="481BB209" w14:textId="77777777" w:rsidR="002C107D" w:rsidRPr="005E6498" w:rsidRDefault="002C107D" w:rsidP="007E3F29">
      <w:pPr>
        <w:jc w:val="both"/>
      </w:pPr>
      <w:r w:rsidRPr="00862F5F">
        <w:rPr>
          <w:b/>
        </w:rPr>
        <w:t>Planirane aktivnosti</w:t>
      </w:r>
      <w:r w:rsidRPr="005E6498">
        <w:t xml:space="preserve"> :</w:t>
      </w:r>
    </w:p>
    <w:p w14:paraId="6989CECC" w14:textId="77777777" w:rsidR="005E6498" w:rsidRDefault="005E6498" w:rsidP="007E3F29">
      <w:pPr>
        <w:jc w:val="both"/>
      </w:pPr>
      <w:r>
        <w:t>Održa</w:t>
      </w:r>
      <w:r w:rsidR="00B73FD0">
        <w:t xml:space="preserve">ti sastanak sa udrugama o </w:t>
      </w:r>
      <w:r>
        <w:t xml:space="preserve"> mogućnosti</w:t>
      </w:r>
      <w:r w:rsidR="00B73FD0">
        <w:t>ma</w:t>
      </w:r>
      <w:r>
        <w:t xml:space="preserve"> uključivanja u sustav civilne zaštite</w:t>
      </w:r>
      <w:r w:rsidR="00B330CC">
        <w:t xml:space="preserve"> te n</w:t>
      </w:r>
      <w:r w:rsidR="00F34385">
        <w:t>j</w:t>
      </w:r>
      <w:r w:rsidR="00B330CC">
        <w:t>ihovog educiranja</w:t>
      </w:r>
    </w:p>
    <w:p w14:paraId="66CF458B" w14:textId="77777777" w:rsidR="00862F5F" w:rsidRDefault="00862F5F" w:rsidP="007E3F29">
      <w:pPr>
        <w:jc w:val="both"/>
      </w:pPr>
    </w:p>
    <w:p w14:paraId="38ABD2BE" w14:textId="77777777" w:rsidR="005E6498" w:rsidRDefault="005E6498" w:rsidP="005E6498">
      <w:pPr>
        <w:jc w:val="both"/>
        <w:rPr>
          <w:b/>
        </w:rPr>
      </w:pPr>
      <w:r w:rsidRPr="005E6498">
        <w:rPr>
          <w:b/>
        </w:rPr>
        <w:t>Nositelj aktivnosti : Općina Vinica</w:t>
      </w:r>
    </w:p>
    <w:p w14:paraId="32C0966B" w14:textId="77777777" w:rsidR="000362C5" w:rsidRDefault="000362C5" w:rsidP="005E6498">
      <w:pPr>
        <w:jc w:val="both"/>
        <w:rPr>
          <w:b/>
        </w:rPr>
      </w:pPr>
    </w:p>
    <w:p w14:paraId="21576715" w14:textId="77777777" w:rsidR="000362C5" w:rsidRPr="00862F5F" w:rsidRDefault="000362C5" w:rsidP="005E6498">
      <w:pPr>
        <w:jc w:val="both"/>
        <w:rPr>
          <w:b/>
          <w:u w:val="single"/>
        </w:rPr>
      </w:pPr>
      <w:r w:rsidRPr="00862F5F">
        <w:rPr>
          <w:b/>
          <w:u w:val="single"/>
        </w:rPr>
        <w:t>9. Sta</w:t>
      </w:r>
      <w:r w:rsidR="0078175D" w:rsidRPr="00862F5F">
        <w:rPr>
          <w:b/>
          <w:u w:val="single"/>
        </w:rPr>
        <w:t xml:space="preserve">novništvo </w:t>
      </w:r>
    </w:p>
    <w:p w14:paraId="311A4CCC" w14:textId="77777777" w:rsidR="0078175D" w:rsidRDefault="0078175D" w:rsidP="005E6498">
      <w:pPr>
        <w:jc w:val="both"/>
        <w:rPr>
          <w:b/>
        </w:rPr>
      </w:pPr>
    </w:p>
    <w:p w14:paraId="5901027A" w14:textId="77777777" w:rsidR="00362467" w:rsidRDefault="00362467" w:rsidP="005E6498">
      <w:pPr>
        <w:jc w:val="both"/>
      </w:pPr>
      <w:r>
        <w:t>Katastrofe</w:t>
      </w:r>
      <w:r w:rsidR="00817CB3">
        <w:t>, nesreće ili krize uzrokovane p</w:t>
      </w:r>
      <w:r>
        <w:t>rirodnim silama ili ljuskom aktivnošću mogu izazvati kod stanovništva specifična krizna stanja i djelovati na ljude na način da ugroženo stanovništv</w:t>
      </w:r>
      <w:r w:rsidR="00B33718">
        <w:t>o</w:t>
      </w:r>
      <w:r>
        <w:t xml:space="preserve"> nije </w:t>
      </w:r>
      <w:r w:rsidR="00B33718">
        <w:t xml:space="preserve">u </w:t>
      </w:r>
      <w:r>
        <w:t xml:space="preserve">mogućnosti kontrolirati tijek događaja i nositi se s gubicima i štetama. </w:t>
      </w:r>
      <w:r w:rsidR="00DB4247">
        <w:t xml:space="preserve">Posljedice </w:t>
      </w:r>
      <w:r w:rsidR="00817CB3">
        <w:t>k</w:t>
      </w:r>
      <w:r w:rsidR="00DB4247">
        <w:t>riznih stanja mogu se ublažiti pravovremenim planiranjem pružanja pomoći i stanjem pripravnosti za određenu kriznu situaciju.</w:t>
      </w:r>
    </w:p>
    <w:p w14:paraId="16C8F065" w14:textId="77777777" w:rsidR="00DB4247" w:rsidRDefault="00DB4247" w:rsidP="005E6498">
      <w:pPr>
        <w:jc w:val="both"/>
      </w:pPr>
      <w:r>
        <w:t xml:space="preserve">Planirane aktivnosti : </w:t>
      </w:r>
    </w:p>
    <w:p w14:paraId="35BAFFA6" w14:textId="77777777" w:rsidR="00DB4247" w:rsidRDefault="004E1A9A" w:rsidP="005E6498">
      <w:pPr>
        <w:jc w:val="both"/>
      </w:pPr>
      <w:r>
        <w:t xml:space="preserve">- </w:t>
      </w:r>
      <w:r w:rsidR="00DB4247">
        <w:t>Upoznavanje građana sa sadržajem Planova zaštite p</w:t>
      </w:r>
      <w:r>
        <w:t>utem radionica ili putem web stranice</w:t>
      </w:r>
    </w:p>
    <w:p w14:paraId="61EE5C8B" w14:textId="77777777" w:rsidR="001E645E" w:rsidRDefault="001E645E" w:rsidP="005E6498">
      <w:pPr>
        <w:jc w:val="both"/>
      </w:pPr>
    </w:p>
    <w:p w14:paraId="10612727" w14:textId="77777777" w:rsidR="004E1A9A" w:rsidRPr="00862F5F" w:rsidRDefault="004E1A9A" w:rsidP="005E6498">
      <w:pPr>
        <w:jc w:val="both"/>
        <w:rPr>
          <w:b/>
        </w:rPr>
      </w:pPr>
      <w:r w:rsidRPr="00862F5F">
        <w:rPr>
          <w:b/>
        </w:rPr>
        <w:t xml:space="preserve">Nositelj aktivnosti : Stožer civilne zaštite </w:t>
      </w:r>
    </w:p>
    <w:p w14:paraId="7A27B0CC" w14:textId="77777777" w:rsidR="004E1A9A" w:rsidRDefault="004E1A9A" w:rsidP="005E6498">
      <w:pPr>
        <w:jc w:val="both"/>
      </w:pPr>
    </w:p>
    <w:p w14:paraId="5FB673B3" w14:textId="77777777" w:rsidR="004E1A9A" w:rsidRDefault="009F52D9" w:rsidP="005E6498">
      <w:pPr>
        <w:jc w:val="both"/>
      </w:pPr>
      <w:r>
        <w:t>IV</w:t>
      </w:r>
      <w:r w:rsidR="004E1A9A">
        <w:t xml:space="preserve">. </w:t>
      </w:r>
      <w:r>
        <w:t>FINANCIRANJE SUSTAVA CIVILNE ZAŠTITE</w:t>
      </w:r>
      <w:r w:rsidR="004E1A9A">
        <w:t xml:space="preserve"> </w:t>
      </w:r>
    </w:p>
    <w:p w14:paraId="758181F3" w14:textId="77777777" w:rsidR="004E1A9A" w:rsidRDefault="004E1A9A" w:rsidP="005E6498">
      <w:pPr>
        <w:jc w:val="both"/>
      </w:pPr>
    </w:p>
    <w:p w14:paraId="04634503" w14:textId="18B26DA5" w:rsidR="004E1A9A" w:rsidRDefault="004E1A9A" w:rsidP="005E6498">
      <w:pPr>
        <w:jc w:val="both"/>
      </w:pPr>
      <w:r>
        <w:t>Prema odredbama  Zakona o sustavu civilne zaštite</w:t>
      </w:r>
      <w:r w:rsidR="00895011">
        <w:t>, općinski je načelnik kao nositelj izvršne vlasti odgovoran</w:t>
      </w:r>
      <w:r w:rsidR="006D229F">
        <w:t xml:space="preserve"> </w:t>
      </w:r>
      <w:r w:rsidR="00895011">
        <w:t>za osnivanje, razvoj i financiranje, opremanje, osposobljavanje i uvježbavanje operativnih snaga.</w:t>
      </w:r>
    </w:p>
    <w:p w14:paraId="6F5B2FC5" w14:textId="79AF5C78" w:rsidR="00B73FD0" w:rsidRDefault="005D1853" w:rsidP="001E645E">
      <w:pPr>
        <w:jc w:val="both"/>
      </w:pPr>
      <w:r>
        <w:t xml:space="preserve">U </w:t>
      </w:r>
      <w:r w:rsidR="00F34385">
        <w:t>Proračunu Općine Vinica  za 202</w:t>
      </w:r>
      <w:r w:rsidR="003D476A">
        <w:t>3</w:t>
      </w:r>
      <w:r>
        <w:t xml:space="preserve">. godinu </w:t>
      </w:r>
      <w:r w:rsidR="005B6EED">
        <w:t xml:space="preserve">osigurati  će se </w:t>
      </w:r>
      <w:r w:rsidR="00917B6E">
        <w:t xml:space="preserve"> financijska sredstva za izvršavanje mjera i aktiv</w:t>
      </w:r>
      <w:r w:rsidR="005D6EBC">
        <w:t>nosti u sustavu civilne zaštite.</w:t>
      </w:r>
    </w:p>
    <w:p w14:paraId="184494CD" w14:textId="77777777" w:rsidR="00B73FD0" w:rsidRDefault="00B73FD0" w:rsidP="001E645E">
      <w:pPr>
        <w:jc w:val="both"/>
      </w:pPr>
    </w:p>
    <w:p w14:paraId="1A0D363F" w14:textId="77777777" w:rsidR="00B73FD0" w:rsidRDefault="00B73FD0" w:rsidP="001E645E">
      <w:pPr>
        <w:jc w:val="both"/>
      </w:pPr>
    </w:p>
    <w:p w14:paraId="07E6C417" w14:textId="77777777" w:rsidR="0093254B" w:rsidRDefault="0093254B" w:rsidP="001E645E">
      <w:pPr>
        <w:jc w:val="both"/>
      </w:pPr>
    </w:p>
    <w:p w14:paraId="3AFD587C" w14:textId="77777777" w:rsidR="0093254B" w:rsidRDefault="0093254B" w:rsidP="001E645E">
      <w:pPr>
        <w:jc w:val="both"/>
      </w:pPr>
    </w:p>
    <w:p w14:paraId="24385461" w14:textId="77777777" w:rsidR="0093254B" w:rsidRDefault="0093254B" w:rsidP="001E645E">
      <w:pPr>
        <w:jc w:val="both"/>
      </w:pPr>
    </w:p>
    <w:p w14:paraId="2009E415" w14:textId="77777777" w:rsidR="0093254B" w:rsidRDefault="0093254B" w:rsidP="001E645E">
      <w:pPr>
        <w:jc w:val="both"/>
      </w:pPr>
    </w:p>
    <w:p w14:paraId="367FC11D" w14:textId="77777777" w:rsidR="0093254B" w:rsidRDefault="0093254B" w:rsidP="001E645E">
      <w:pPr>
        <w:jc w:val="both"/>
      </w:pPr>
    </w:p>
    <w:p w14:paraId="5E2033F3" w14:textId="77777777" w:rsidR="0093254B" w:rsidRDefault="0093254B" w:rsidP="001E645E">
      <w:pPr>
        <w:jc w:val="both"/>
      </w:pPr>
    </w:p>
    <w:p w14:paraId="1475D6E2" w14:textId="77777777" w:rsidR="0093254B" w:rsidRDefault="0093254B" w:rsidP="001E645E">
      <w:pPr>
        <w:jc w:val="both"/>
      </w:pPr>
    </w:p>
    <w:p w14:paraId="07C15B45" w14:textId="77777777" w:rsidR="0093254B" w:rsidRDefault="0093254B" w:rsidP="001E645E">
      <w:pPr>
        <w:jc w:val="both"/>
      </w:pPr>
    </w:p>
    <w:p w14:paraId="1FD71E44" w14:textId="77777777" w:rsidR="0093254B" w:rsidRDefault="0093254B" w:rsidP="001E645E">
      <w:pPr>
        <w:jc w:val="both"/>
      </w:pPr>
    </w:p>
    <w:p w14:paraId="1AB0D306" w14:textId="77777777" w:rsidR="0093254B" w:rsidRDefault="0093254B" w:rsidP="001E645E">
      <w:pPr>
        <w:jc w:val="both"/>
      </w:pPr>
    </w:p>
    <w:p w14:paraId="0C9C4920" w14:textId="77777777" w:rsidR="0093254B" w:rsidRDefault="0093254B" w:rsidP="001E645E">
      <w:pPr>
        <w:jc w:val="both"/>
      </w:pPr>
    </w:p>
    <w:p w14:paraId="62AE1016" w14:textId="77777777" w:rsidR="00817CB3" w:rsidRDefault="00817CB3" w:rsidP="001E645E">
      <w:pPr>
        <w:jc w:val="both"/>
      </w:pPr>
    </w:p>
    <w:p w14:paraId="4AAC166D" w14:textId="77777777" w:rsidR="00817CB3" w:rsidRDefault="00817CB3" w:rsidP="001E645E">
      <w:pPr>
        <w:jc w:val="both"/>
      </w:pPr>
    </w:p>
    <w:p w14:paraId="46E525CB" w14:textId="77777777" w:rsidR="00817CB3" w:rsidRDefault="00817CB3" w:rsidP="001E645E">
      <w:pPr>
        <w:jc w:val="both"/>
      </w:pPr>
    </w:p>
    <w:p w14:paraId="5FE7C08D" w14:textId="77777777" w:rsidR="00817CB3" w:rsidRDefault="00817CB3" w:rsidP="001E645E">
      <w:pPr>
        <w:jc w:val="both"/>
      </w:pPr>
    </w:p>
    <w:p w14:paraId="58D2B8F6" w14:textId="77777777" w:rsidR="0093254B" w:rsidRDefault="0093254B" w:rsidP="001E645E">
      <w:pPr>
        <w:jc w:val="both"/>
      </w:pPr>
    </w:p>
    <w:p w14:paraId="270EAA1B" w14:textId="77777777" w:rsidR="0093254B" w:rsidRDefault="0093254B" w:rsidP="001E645E">
      <w:pPr>
        <w:jc w:val="both"/>
      </w:pPr>
    </w:p>
    <w:p w14:paraId="78A0A77F" w14:textId="77777777" w:rsidR="001A5E83" w:rsidRPr="005F1DA3" w:rsidRDefault="001A5E83" w:rsidP="004062F2"/>
    <w:p w14:paraId="46469D3C" w14:textId="77777777" w:rsidR="004062F2" w:rsidRPr="0075456A" w:rsidRDefault="004062F2" w:rsidP="004062F2">
      <w:pPr>
        <w:pStyle w:val="Tijeloteksta-uvlaka3"/>
        <w:jc w:val="center"/>
        <w:rPr>
          <w:i/>
          <w:iCs/>
          <w:sz w:val="24"/>
          <w:szCs w:val="24"/>
        </w:rPr>
      </w:pPr>
      <w:r w:rsidRPr="0075456A">
        <w:rPr>
          <w:i/>
          <w:iCs/>
          <w:sz w:val="24"/>
          <w:szCs w:val="24"/>
        </w:rPr>
        <w:t xml:space="preserve">FINANCIJSKI POKAZATELJI RAZVOJA SUSTAVA </w:t>
      </w:r>
      <w:r w:rsidR="00A713AB" w:rsidRPr="0075456A">
        <w:rPr>
          <w:i/>
          <w:iCs/>
          <w:sz w:val="24"/>
          <w:szCs w:val="24"/>
        </w:rPr>
        <w:t xml:space="preserve">CIVILNE ZAŠTITE  S </w:t>
      </w:r>
      <w:r w:rsidRPr="0075456A">
        <w:rPr>
          <w:i/>
          <w:iCs/>
          <w:sz w:val="24"/>
          <w:szCs w:val="24"/>
        </w:rPr>
        <w:t xml:space="preserve"> UČINCIMA ZA TROGODIŠNJE RAZDOBLJE</w:t>
      </w:r>
    </w:p>
    <w:p w14:paraId="1E0AE86E" w14:textId="77777777" w:rsidR="004062F2" w:rsidRPr="005F1DA3" w:rsidRDefault="004062F2" w:rsidP="004062F2">
      <w:pPr>
        <w:rPr>
          <w:iCs/>
        </w:rPr>
      </w:pPr>
    </w:p>
    <w:tbl>
      <w:tblPr>
        <w:tblStyle w:val="Svijetlatablicareetke1-isticanje6"/>
        <w:tblW w:w="9576" w:type="dxa"/>
        <w:tblLook w:val="00A0" w:firstRow="1" w:lastRow="0" w:firstColumn="1" w:lastColumn="0" w:noHBand="0" w:noVBand="0"/>
      </w:tblPr>
      <w:tblGrid>
        <w:gridCol w:w="577"/>
        <w:gridCol w:w="2679"/>
        <w:gridCol w:w="1701"/>
        <w:gridCol w:w="1559"/>
        <w:gridCol w:w="1672"/>
        <w:gridCol w:w="1388"/>
      </w:tblGrid>
      <w:tr w:rsidR="004062F2" w:rsidRPr="005F1DA3" w14:paraId="170527C8" w14:textId="77777777" w:rsidTr="00754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shd w:val="clear" w:color="auto" w:fill="FDE9D9" w:themeFill="accent6" w:themeFillTint="33"/>
          </w:tcPr>
          <w:p w14:paraId="23839170" w14:textId="345AEDD1" w:rsidR="004062F2" w:rsidRPr="005F1DA3" w:rsidRDefault="0075456A" w:rsidP="00273159">
            <w:pPr>
              <w:jc w:val="center"/>
              <w:rPr>
                <w:bCs w:val="0"/>
                <w:iCs/>
              </w:rPr>
            </w:pPr>
            <w:r>
              <w:rPr>
                <w:iCs/>
              </w:rPr>
              <w:t>RB</w:t>
            </w:r>
          </w:p>
        </w:tc>
        <w:tc>
          <w:tcPr>
            <w:tcW w:w="2679" w:type="dxa"/>
            <w:shd w:val="clear" w:color="auto" w:fill="FDE9D9" w:themeFill="accent6" w:themeFillTint="33"/>
          </w:tcPr>
          <w:p w14:paraId="096F487D" w14:textId="77777777" w:rsidR="004062F2" w:rsidRPr="005F1DA3" w:rsidRDefault="004062F2" w:rsidP="00273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5F1DA3">
              <w:rPr>
                <w:iCs/>
              </w:rPr>
              <w:t>OPIS POZICIJE U PRORAČUNU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D3C8BE0" w14:textId="7F6DEE60" w:rsidR="004062F2" w:rsidRPr="005F1DA3" w:rsidRDefault="00C36B82" w:rsidP="00273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>
              <w:rPr>
                <w:iCs/>
              </w:rPr>
              <w:t>Planirano</w:t>
            </w:r>
            <w:r w:rsidR="00B330CC">
              <w:rPr>
                <w:iCs/>
              </w:rPr>
              <w:t xml:space="preserve"> u </w:t>
            </w:r>
            <w:r w:rsidR="004D122A">
              <w:rPr>
                <w:iCs/>
              </w:rPr>
              <w:t>202</w:t>
            </w:r>
            <w:r w:rsidR="001C2026">
              <w:rPr>
                <w:iCs/>
              </w:rPr>
              <w:t>3. EUR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66CEC725" w14:textId="12D8A692" w:rsidR="004062F2" w:rsidRPr="005F1DA3" w:rsidRDefault="00C468B3" w:rsidP="00B33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>
              <w:rPr>
                <w:iCs/>
              </w:rPr>
              <w:t>Planirano za 202</w:t>
            </w:r>
            <w:r w:rsidR="001C2026">
              <w:rPr>
                <w:iCs/>
              </w:rPr>
              <w:t>4. EUR</w:t>
            </w:r>
          </w:p>
        </w:tc>
        <w:tc>
          <w:tcPr>
            <w:tcW w:w="1672" w:type="dxa"/>
            <w:shd w:val="clear" w:color="auto" w:fill="FDE9D9" w:themeFill="accent6" w:themeFillTint="33"/>
          </w:tcPr>
          <w:p w14:paraId="25BACE2E" w14:textId="1964D87C" w:rsidR="004062F2" w:rsidRDefault="00C468B3" w:rsidP="00273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>
              <w:rPr>
                <w:iCs/>
              </w:rPr>
              <w:t xml:space="preserve">Planirano u </w:t>
            </w:r>
            <w:r w:rsidR="000618BC" w:rsidRPr="000618BC">
              <w:rPr>
                <w:iCs/>
              </w:rPr>
              <w:t>108.890</w:t>
            </w:r>
            <w:r>
              <w:rPr>
                <w:iCs/>
              </w:rPr>
              <w:t>202</w:t>
            </w:r>
            <w:r w:rsidR="001C2026">
              <w:rPr>
                <w:iCs/>
              </w:rPr>
              <w:t>5. EUR</w:t>
            </w:r>
          </w:p>
        </w:tc>
        <w:tc>
          <w:tcPr>
            <w:tcW w:w="1388" w:type="dxa"/>
            <w:shd w:val="clear" w:color="auto" w:fill="FDE9D9" w:themeFill="accent6" w:themeFillTint="33"/>
          </w:tcPr>
          <w:p w14:paraId="0A84783B" w14:textId="0C8AED02" w:rsidR="004062F2" w:rsidRDefault="00C468B3" w:rsidP="00273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>
              <w:rPr>
                <w:iCs/>
              </w:rPr>
              <w:t>Planirano u 202</w:t>
            </w:r>
            <w:r w:rsidR="001C2026">
              <w:rPr>
                <w:iCs/>
              </w:rPr>
              <w:t>6. EUR</w:t>
            </w:r>
          </w:p>
        </w:tc>
      </w:tr>
      <w:tr w:rsidR="004062F2" w:rsidRPr="00AD3DD3" w14:paraId="273D2526" w14:textId="77777777" w:rsidTr="00061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shd w:val="clear" w:color="auto" w:fill="FDE9D9" w:themeFill="accent6" w:themeFillTint="33"/>
          </w:tcPr>
          <w:p w14:paraId="3BD3EDE9" w14:textId="77777777" w:rsidR="004062F2" w:rsidRPr="00AD3DD3" w:rsidRDefault="004062F2" w:rsidP="00273159">
            <w:pPr>
              <w:rPr>
                <w:iCs/>
              </w:rPr>
            </w:pPr>
            <w:r w:rsidRPr="00AD3DD3">
              <w:rPr>
                <w:iCs/>
              </w:rPr>
              <w:t>1.</w:t>
            </w:r>
          </w:p>
        </w:tc>
        <w:tc>
          <w:tcPr>
            <w:tcW w:w="2679" w:type="dxa"/>
          </w:tcPr>
          <w:p w14:paraId="4C5ADDB5" w14:textId="77777777" w:rsidR="004062F2" w:rsidRPr="00AD3DD3" w:rsidRDefault="004062F2" w:rsidP="00273159">
            <w:pPr>
              <w:pStyle w:val="Naslo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AD3DD3">
              <w:rPr>
                <w:rFonts w:ascii="Times New Roman" w:hAnsi="Times New Roman" w:cs="Times New Roman"/>
                <w:b w:val="0"/>
              </w:rPr>
              <w:t>CIVILNA ZAŠTITA</w:t>
            </w:r>
          </w:p>
          <w:p w14:paraId="54F84F54" w14:textId="77777777" w:rsidR="004062F2" w:rsidRPr="00AD3DD3" w:rsidRDefault="004062F2" w:rsidP="00273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DD3">
              <w:t>(opremanje, osposobljavanje, smotriranje, angažiranje, osiguravanje uvjeta za evakuaciju, zbrinjavanje i druge aktivnosti i mjere u zaštiti i spašavanju)</w:t>
            </w:r>
          </w:p>
        </w:tc>
        <w:tc>
          <w:tcPr>
            <w:tcW w:w="1701" w:type="dxa"/>
          </w:tcPr>
          <w:p w14:paraId="55083CE7" w14:textId="77777777" w:rsidR="004062F2" w:rsidRPr="00FF536F" w:rsidRDefault="004062F2" w:rsidP="00F47D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38155FA2" w14:textId="72E4BF8D" w:rsidR="004062F2" w:rsidRPr="00FF536F" w:rsidRDefault="004062F2" w:rsidP="00F47D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27028B0B" w14:textId="77777777" w:rsidR="004062F2" w:rsidRPr="00FF536F" w:rsidRDefault="004062F2" w:rsidP="00F47D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0B12C1B7" w14:textId="77777777" w:rsidR="004062F2" w:rsidRDefault="004062F2" w:rsidP="00F47D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279CD986" w14:textId="48B3220B" w:rsidR="001C2026" w:rsidRPr="001C2026" w:rsidRDefault="001C2026" w:rsidP="001C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3.982,00</w:t>
            </w:r>
          </w:p>
        </w:tc>
        <w:tc>
          <w:tcPr>
            <w:tcW w:w="1559" w:type="dxa"/>
          </w:tcPr>
          <w:p w14:paraId="4751A9D1" w14:textId="77777777" w:rsidR="004062F2" w:rsidRPr="00FF536F" w:rsidRDefault="004062F2" w:rsidP="00FF53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472206E6" w14:textId="77777777" w:rsidR="004062F2" w:rsidRDefault="004062F2" w:rsidP="00FF53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764896E6" w14:textId="77777777" w:rsidR="001C2026" w:rsidRPr="001C2026" w:rsidRDefault="001C2026" w:rsidP="001C2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F62369" w14:textId="77777777" w:rsidR="001C2026" w:rsidRDefault="001C2026" w:rsidP="001C2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22ECA359" w14:textId="54C698DB" w:rsidR="001C2026" w:rsidRPr="001C2026" w:rsidRDefault="001C2026" w:rsidP="001C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5.000,00</w:t>
            </w:r>
          </w:p>
        </w:tc>
        <w:tc>
          <w:tcPr>
            <w:tcW w:w="1672" w:type="dxa"/>
          </w:tcPr>
          <w:p w14:paraId="6B4360CD" w14:textId="77777777" w:rsidR="004062F2" w:rsidRPr="00FF536F" w:rsidRDefault="004062F2" w:rsidP="00FF53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58E9E9D6" w14:textId="77777777" w:rsidR="004062F2" w:rsidRDefault="004062F2" w:rsidP="00FF53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7F8478F5" w14:textId="77777777" w:rsidR="001C2026" w:rsidRPr="001C2026" w:rsidRDefault="001C2026" w:rsidP="001C2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953BA" w14:textId="77777777" w:rsidR="001C2026" w:rsidRDefault="001C2026" w:rsidP="001C2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12E57FA7" w14:textId="3B090DA3" w:rsidR="001C2026" w:rsidRPr="001C2026" w:rsidRDefault="001C2026" w:rsidP="001C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6.000,00</w:t>
            </w:r>
          </w:p>
        </w:tc>
        <w:tc>
          <w:tcPr>
            <w:tcW w:w="1388" w:type="dxa"/>
          </w:tcPr>
          <w:p w14:paraId="095EE1CB" w14:textId="77777777" w:rsidR="004062F2" w:rsidRPr="00FF536F" w:rsidRDefault="004062F2" w:rsidP="00FF53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3BC98B68" w14:textId="77777777" w:rsidR="004062F2" w:rsidRDefault="004062F2" w:rsidP="00FF53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1C159ADD" w14:textId="77777777" w:rsidR="001C2026" w:rsidRPr="001C2026" w:rsidRDefault="001C2026" w:rsidP="001C2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03FB6F" w14:textId="77777777" w:rsidR="001C2026" w:rsidRDefault="001C2026" w:rsidP="001C2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1808DE19" w14:textId="74121D1A" w:rsidR="001C2026" w:rsidRPr="001C2026" w:rsidRDefault="001C2026" w:rsidP="001C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7.000,00</w:t>
            </w:r>
          </w:p>
        </w:tc>
      </w:tr>
      <w:tr w:rsidR="004062F2" w:rsidRPr="00AD3DD3" w14:paraId="430BE257" w14:textId="77777777" w:rsidTr="00061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shd w:val="clear" w:color="auto" w:fill="FDE9D9" w:themeFill="accent6" w:themeFillTint="33"/>
          </w:tcPr>
          <w:p w14:paraId="6FC6E1E4" w14:textId="77777777" w:rsidR="004062F2" w:rsidRPr="00AD3DD3" w:rsidRDefault="004062F2" w:rsidP="00273159">
            <w:pPr>
              <w:rPr>
                <w:iCs/>
              </w:rPr>
            </w:pPr>
            <w:r w:rsidRPr="00AD3DD3">
              <w:rPr>
                <w:iCs/>
              </w:rPr>
              <w:t>2.</w:t>
            </w:r>
          </w:p>
        </w:tc>
        <w:tc>
          <w:tcPr>
            <w:tcW w:w="2679" w:type="dxa"/>
          </w:tcPr>
          <w:p w14:paraId="3BD4E5C8" w14:textId="77777777" w:rsidR="004062F2" w:rsidRPr="00AD3DD3" w:rsidRDefault="004062F2" w:rsidP="00273159">
            <w:pPr>
              <w:pStyle w:val="Naslo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AD3DD3">
              <w:rPr>
                <w:rFonts w:ascii="Times New Roman" w:hAnsi="Times New Roman" w:cs="Times New Roman"/>
                <w:b w:val="0"/>
              </w:rPr>
              <w:t>VATROGASTVO</w:t>
            </w:r>
          </w:p>
          <w:p w14:paraId="71801088" w14:textId="77777777" w:rsidR="004062F2" w:rsidRPr="00AD3DD3" w:rsidRDefault="004062F2" w:rsidP="00273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DD3">
              <w:t>- opremanje, vježbe, takmičenja i dr.</w:t>
            </w:r>
          </w:p>
          <w:p w14:paraId="59071A4E" w14:textId="77777777" w:rsidR="004062F2" w:rsidRPr="00AD3DD3" w:rsidRDefault="004062F2" w:rsidP="00273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0890791" w14:textId="77777777" w:rsidR="004062F2" w:rsidRPr="00FF536F" w:rsidRDefault="004062F2" w:rsidP="00F47D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23F4085D" w14:textId="78EF4D94" w:rsidR="004062F2" w:rsidRPr="00FF536F" w:rsidRDefault="001C2026" w:rsidP="001C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33.135,00</w:t>
            </w:r>
          </w:p>
        </w:tc>
        <w:tc>
          <w:tcPr>
            <w:tcW w:w="1559" w:type="dxa"/>
          </w:tcPr>
          <w:p w14:paraId="63F1A496" w14:textId="77777777" w:rsidR="002C40EA" w:rsidRPr="00FF536F" w:rsidRDefault="002C40EA" w:rsidP="00FF53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4843FACD" w14:textId="2C57C873" w:rsidR="004062F2" w:rsidRPr="00FF536F" w:rsidRDefault="001C2026" w:rsidP="001C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24.790,00</w:t>
            </w:r>
          </w:p>
        </w:tc>
        <w:tc>
          <w:tcPr>
            <w:tcW w:w="1672" w:type="dxa"/>
          </w:tcPr>
          <w:p w14:paraId="72F966A2" w14:textId="77777777" w:rsidR="004062F2" w:rsidRPr="00FF536F" w:rsidRDefault="004062F2" w:rsidP="00FF53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64E33EB9" w14:textId="1785AC1C" w:rsidR="004062F2" w:rsidRPr="00FF536F" w:rsidRDefault="001C2026" w:rsidP="001C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36.500,00</w:t>
            </w:r>
          </w:p>
        </w:tc>
        <w:tc>
          <w:tcPr>
            <w:tcW w:w="1388" w:type="dxa"/>
          </w:tcPr>
          <w:p w14:paraId="7CEA325E" w14:textId="77777777" w:rsidR="004062F2" w:rsidRPr="00FF536F" w:rsidRDefault="004062F2" w:rsidP="00FF53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3F9B4752" w14:textId="3C9C67F8" w:rsidR="004062F2" w:rsidRPr="00FF536F" w:rsidRDefault="001C2026" w:rsidP="001C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37.000,00</w:t>
            </w:r>
          </w:p>
        </w:tc>
      </w:tr>
      <w:tr w:rsidR="004062F2" w:rsidRPr="00AD3DD3" w14:paraId="035978D7" w14:textId="77777777" w:rsidTr="00061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shd w:val="clear" w:color="auto" w:fill="FDE9D9" w:themeFill="accent6" w:themeFillTint="33"/>
          </w:tcPr>
          <w:p w14:paraId="39F6FD5F" w14:textId="77777777" w:rsidR="004062F2" w:rsidRPr="00AD3DD3" w:rsidRDefault="004062F2" w:rsidP="00273159">
            <w:pPr>
              <w:rPr>
                <w:iCs/>
              </w:rPr>
            </w:pPr>
            <w:r w:rsidRPr="00AD3DD3">
              <w:rPr>
                <w:iCs/>
              </w:rPr>
              <w:t>3.</w:t>
            </w:r>
          </w:p>
        </w:tc>
        <w:tc>
          <w:tcPr>
            <w:tcW w:w="2679" w:type="dxa"/>
          </w:tcPr>
          <w:p w14:paraId="5362F037" w14:textId="77777777" w:rsidR="004062F2" w:rsidRPr="00AD3DD3" w:rsidRDefault="004062F2" w:rsidP="00273159">
            <w:pPr>
              <w:pStyle w:val="Naslo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AD3DD3">
              <w:rPr>
                <w:rFonts w:ascii="Times New Roman" w:hAnsi="Times New Roman" w:cs="Times New Roman"/>
                <w:b w:val="0"/>
              </w:rPr>
              <w:t xml:space="preserve">UDRUGE GRAĐANA </w:t>
            </w:r>
          </w:p>
          <w:p w14:paraId="15A64B7E" w14:textId="74ACC33D" w:rsidR="004062F2" w:rsidRPr="00AD3DD3" w:rsidRDefault="004062F2" w:rsidP="00273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7AAEEA0" w14:textId="6C3CDB39" w:rsidR="004062F2" w:rsidRPr="00FF536F" w:rsidRDefault="001C2026" w:rsidP="001C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68.272,00</w:t>
            </w:r>
          </w:p>
        </w:tc>
        <w:tc>
          <w:tcPr>
            <w:tcW w:w="1559" w:type="dxa"/>
          </w:tcPr>
          <w:p w14:paraId="63913F66" w14:textId="1D95A1DD" w:rsidR="004062F2" w:rsidRPr="00FF536F" w:rsidRDefault="001C2026" w:rsidP="001C2026">
            <w:pPr>
              <w:tabs>
                <w:tab w:val="left" w:pos="1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ab/>
              <w:t>71.600,00</w:t>
            </w:r>
          </w:p>
        </w:tc>
        <w:tc>
          <w:tcPr>
            <w:tcW w:w="1672" w:type="dxa"/>
          </w:tcPr>
          <w:p w14:paraId="563A0CA3" w14:textId="7DE441B6" w:rsidR="004062F2" w:rsidRPr="00FF536F" w:rsidRDefault="001C2026" w:rsidP="001C2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75.000,00</w:t>
            </w:r>
          </w:p>
        </w:tc>
        <w:tc>
          <w:tcPr>
            <w:tcW w:w="1388" w:type="dxa"/>
          </w:tcPr>
          <w:p w14:paraId="0C03A83A" w14:textId="3E3A90C6" w:rsidR="004062F2" w:rsidRPr="00FF536F" w:rsidRDefault="001C2026" w:rsidP="001C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78.000,00</w:t>
            </w:r>
          </w:p>
        </w:tc>
      </w:tr>
      <w:tr w:rsidR="004062F2" w:rsidRPr="00AD3DD3" w14:paraId="490D5F51" w14:textId="77777777" w:rsidTr="00061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shd w:val="clear" w:color="auto" w:fill="FDE9D9" w:themeFill="accent6" w:themeFillTint="33"/>
          </w:tcPr>
          <w:p w14:paraId="1A7D7353" w14:textId="77777777" w:rsidR="004062F2" w:rsidRPr="00AD3DD3" w:rsidRDefault="004062F2" w:rsidP="00273159">
            <w:pPr>
              <w:rPr>
                <w:iCs/>
              </w:rPr>
            </w:pPr>
            <w:r w:rsidRPr="00AD3DD3">
              <w:rPr>
                <w:iCs/>
              </w:rPr>
              <w:t xml:space="preserve">4. </w:t>
            </w:r>
          </w:p>
        </w:tc>
        <w:tc>
          <w:tcPr>
            <w:tcW w:w="2679" w:type="dxa"/>
          </w:tcPr>
          <w:p w14:paraId="59BDF8DD" w14:textId="77777777" w:rsidR="004062F2" w:rsidRDefault="004062F2" w:rsidP="00273159">
            <w:pPr>
              <w:pStyle w:val="Naslo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AD3DD3">
              <w:rPr>
                <w:rFonts w:ascii="Times New Roman" w:hAnsi="Times New Roman" w:cs="Times New Roman"/>
                <w:b w:val="0"/>
              </w:rPr>
              <w:t>CRVENI KRIŽ</w:t>
            </w:r>
          </w:p>
          <w:p w14:paraId="68011B96" w14:textId="77777777" w:rsidR="004062F2" w:rsidRPr="006F52CD" w:rsidRDefault="004062F2" w:rsidP="00273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D8C3983" w14:textId="27F18CA4" w:rsidR="004062F2" w:rsidRPr="00FF536F" w:rsidRDefault="001C2026" w:rsidP="001C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6.099,00</w:t>
            </w:r>
          </w:p>
        </w:tc>
        <w:tc>
          <w:tcPr>
            <w:tcW w:w="1559" w:type="dxa"/>
          </w:tcPr>
          <w:p w14:paraId="57871F45" w14:textId="4A205ECE" w:rsidR="004062F2" w:rsidRPr="00FF536F" w:rsidRDefault="001C2026" w:rsidP="001C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6.500,00</w:t>
            </w:r>
          </w:p>
        </w:tc>
        <w:tc>
          <w:tcPr>
            <w:tcW w:w="1672" w:type="dxa"/>
          </w:tcPr>
          <w:p w14:paraId="75C77B3F" w14:textId="1AFB3E09" w:rsidR="004062F2" w:rsidRPr="00FF536F" w:rsidRDefault="001C2026" w:rsidP="001C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6.600,00</w:t>
            </w:r>
          </w:p>
        </w:tc>
        <w:tc>
          <w:tcPr>
            <w:tcW w:w="1388" w:type="dxa"/>
          </w:tcPr>
          <w:p w14:paraId="00D01049" w14:textId="7BF6994A" w:rsidR="004062F2" w:rsidRPr="00FF536F" w:rsidRDefault="001C2026" w:rsidP="001C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6.700,00</w:t>
            </w:r>
          </w:p>
        </w:tc>
      </w:tr>
      <w:tr w:rsidR="004062F2" w:rsidRPr="00AD3DD3" w14:paraId="3945F74D" w14:textId="77777777" w:rsidTr="00061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shd w:val="clear" w:color="auto" w:fill="FDE9D9" w:themeFill="accent6" w:themeFillTint="33"/>
          </w:tcPr>
          <w:p w14:paraId="210E7302" w14:textId="77777777" w:rsidR="004062F2" w:rsidRPr="00AD3DD3" w:rsidRDefault="004062F2" w:rsidP="00273159">
            <w:pPr>
              <w:rPr>
                <w:iCs/>
              </w:rPr>
            </w:pPr>
            <w:r>
              <w:rPr>
                <w:iCs/>
              </w:rPr>
              <w:t xml:space="preserve">5. </w:t>
            </w:r>
          </w:p>
        </w:tc>
        <w:tc>
          <w:tcPr>
            <w:tcW w:w="2679" w:type="dxa"/>
          </w:tcPr>
          <w:p w14:paraId="425EC4BB" w14:textId="77777777" w:rsidR="004062F2" w:rsidRDefault="004062F2" w:rsidP="00273159">
            <w:pPr>
              <w:pStyle w:val="Naslo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HGSS</w:t>
            </w:r>
          </w:p>
          <w:p w14:paraId="48AE0BD4" w14:textId="77777777" w:rsidR="004062F2" w:rsidRPr="006F52CD" w:rsidRDefault="004062F2" w:rsidP="00273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808B24F" w14:textId="63E8082C" w:rsidR="004062F2" w:rsidRPr="00FF536F" w:rsidRDefault="001C2026" w:rsidP="001C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664,00</w:t>
            </w:r>
          </w:p>
        </w:tc>
        <w:tc>
          <w:tcPr>
            <w:tcW w:w="1559" w:type="dxa"/>
          </w:tcPr>
          <w:p w14:paraId="60AD68EC" w14:textId="679C71F3" w:rsidR="004062F2" w:rsidRPr="00FF536F" w:rsidRDefault="001C2026" w:rsidP="001C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1.000,00</w:t>
            </w:r>
          </w:p>
        </w:tc>
        <w:tc>
          <w:tcPr>
            <w:tcW w:w="1672" w:type="dxa"/>
          </w:tcPr>
          <w:p w14:paraId="779F18F9" w14:textId="05FCF8E8" w:rsidR="004062F2" w:rsidRPr="00FF536F" w:rsidRDefault="001C2026" w:rsidP="001C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1.200,00</w:t>
            </w:r>
          </w:p>
        </w:tc>
        <w:tc>
          <w:tcPr>
            <w:tcW w:w="1388" w:type="dxa"/>
          </w:tcPr>
          <w:p w14:paraId="2D8DF03C" w14:textId="2D43CB10" w:rsidR="004062F2" w:rsidRPr="00FF536F" w:rsidRDefault="001C2026" w:rsidP="001C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1.500,00</w:t>
            </w:r>
          </w:p>
        </w:tc>
      </w:tr>
      <w:tr w:rsidR="004062F2" w:rsidRPr="00AD3DD3" w14:paraId="6C44F767" w14:textId="77777777" w:rsidTr="00061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shd w:val="clear" w:color="auto" w:fill="FDE9D9" w:themeFill="accent6" w:themeFillTint="33"/>
          </w:tcPr>
          <w:p w14:paraId="4C2D2614" w14:textId="77777777" w:rsidR="004062F2" w:rsidRPr="00AD3DD3" w:rsidRDefault="004062F2" w:rsidP="00273159">
            <w:pPr>
              <w:rPr>
                <w:bCs w:val="0"/>
                <w:iCs/>
              </w:rPr>
            </w:pPr>
          </w:p>
          <w:p w14:paraId="7B1AB6B0" w14:textId="77777777" w:rsidR="004062F2" w:rsidRPr="00AD3DD3" w:rsidRDefault="004062F2" w:rsidP="00273159">
            <w:pPr>
              <w:rPr>
                <w:bCs w:val="0"/>
                <w:iCs/>
              </w:rPr>
            </w:pPr>
            <w:r w:rsidRPr="00AD3DD3">
              <w:rPr>
                <w:iCs/>
              </w:rPr>
              <w:t xml:space="preserve">UKUPNO ZA SUSTAV </w:t>
            </w:r>
            <w:r>
              <w:rPr>
                <w:iCs/>
              </w:rPr>
              <w:t xml:space="preserve">CIVILNE </w:t>
            </w:r>
            <w:r w:rsidRPr="00AD3DD3">
              <w:rPr>
                <w:iCs/>
              </w:rPr>
              <w:t xml:space="preserve">ZAŠTITE 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29B38BA" w14:textId="77777777" w:rsidR="0075456A" w:rsidRDefault="0075456A" w:rsidP="001C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7BB97A" w14:textId="1D85D724" w:rsidR="001C2026" w:rsidRPr="001C2026" w:rsidRDefault="001C2026" w:rsidP="001C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026">
              <w:t>112.152</w:t>
            </w:r>
            <w:r>
              <w:t>,00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1CAC67D3" w14:textId="77777777" w:rsidR="0075456A" w:rsidRDefault="0075456A" w:rsidP="0075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126E696D" w14:textId="07DBF757" w:rsidR="004062F2" w:rsidRPr="00FF536F" w:rsidRDefault="0075456A" w:rsidP="0075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5456A">
              <w:rPr>
                <w:iCs/>
              </w:rPr>
              <w:t>108.890</w:t>
            </w:r>
          </w:p>
        </w:tc>
        <w:tc>
          <w:tcPr>
            <w:tcW w:w="1672" w:type="dxa"/>
            <w:shd w:val="clear" w:color="auto" w:fill="FDE9D9" w:themeFill="accent6" w:themeFillTint="33"/>
          </w:tcPr>
          <w:p w14:paraId="34E19417" w14:textId="77777777" w:rsidR="0075456A" w:rsidRDefault="0075456A" w:rsidP="0075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E4EC88" w14:textId="1D17CB5E" w:rsidR="0075456A" w:rsidRPr="0075456A" w:rsidRDefault="0075456A" w:rsidP="0075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125.300</w:t>
            </w:r>
          </w:p>
        </w:tc>
        <w:tc>
          <w:tcPr>
            <w:tcW w:w="1388" w:type="dxa"/>
            <w:shd w:val="clear" w:color="auto" w:fill="FDE9D9" w:themeFill="accent6" w:themeFillTint="33"/>
          </w:tcPr>
          <w:p w14:paraId="543C3BC5" w14:textId="77777777" w:rsidR="0075456A" w:rsidRDefault="0075456A" w:rsidP="0075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158967" w14:textId="4CFB0002" w:rsidR="0075456A" w:rsidRPr="0075456A" w:rsidRDefault="0075456A" w:rsidP="0075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130.200</w:t>
            </w:r>
          </w:p>
        </w:tc>
      </w:tr>
    </w:tbl>
    <w:p w14:paraId="2CD41319" w14:textId="77777777" w:rsidR="00862F5F" w:rsidRDefault="00862F5F" w:rsidP="004062F2">
      <w:pPr>
        <w:pStyle w:val="Uvuenotijeloteksta"/>
        <w:ind w:left="0"/>
      </w:pPr>
    </w:p>
    <w:p w14:paraId="076A8BE7" w14:textId="77777777" w:rsidR="0075456A" w:rsidRDefault="0075456A" w:rsidP="004062F2">
      <w:pPr>
        <w:pStyle w:val="Uvuenotijeloteksta"/>
        <w:ind w:left="0"/>
      </w:pPr>
    </w:p>
    <w:p w14:paraId="5EED670B" w14:textId="4A2BA520" w:rsidR="004062F2" w:rsidRDefault="006D229F" w:rsidP="004062F2">
      <w:pPr>
        <w:pStyle w:val="Uvuenotijeloteksta"/>
        <w:ind w:left="0"/>
      </w:pPr>
      <w:r>
        <w:t>V</w:t>
      </w:r>
      <w:r w:rsidR="005D6EBC">
        <w:t xml:space="preserve">. ZAVRŠNE ODREDBE </w:t>
      </w:r>
    </w:p>
    <w:p w14:paraId="5496FD57" w14:textId="77777777" w:rsidR="00862F5F" w:rsidRDefault="00862F5F" w:rsidP="004062F2">
      <w:pPr>
        <w:pStyle w:val="Uvuenotijeloteksta"/>
        <w:ind w:left="0"/>
      </w:pPr>
    </w:p>
    <w:p w14:paraId="3F81E579" w14:textId="1EE173FE" w:rsidR="005D6EBC" w:rsidRDefault="005D6EBC" w:rsidP="004062F2">
      <w:pPr>
        <w:pStyle w:val="Uvuenotijeloteksta"/>
        <w:ind w:left="0"/>
      </w:pPr>
      <w:r>
        <w:t>Plan razvoja sustava civilne zaštite n</w:t>
      </w:r>
      <w:r w:rsidR="00F34385">
        <w:t>a području Općine Vinica za 202</w:t>
      </w:r>
      <w:r w:rsidR="0075456A">
        <w:t>3</w:t>
      </w:r>
      <w:r>
        <w:t xml:space="preserve">. </w:t>
      </w:r>
      <w:r w:rsidR="00862F5F">
        <w:t>g</w:t>
      </w:r>
      <w:r>
        <w:t xml:space="preserve">odinu </w:t>
      </w:r>
      <w:r w:rsidR="005B6EED">
        <w:t xml:space="preserve">stupa na snagu </w:t>
      </w:r>
      <w:r w:rsidR="00FF536F">
        <w:t xml:space="preserve"> </w:t>
      </w:r>
      <w:r w:rsidR="005B6EED">
        <w:t xml:space="preserve">danom donošenja </w:t>
      </w:r>
    </w:p>
    <w:p w14:paraId="754D17E3" w14:textId="77777777" w:rsidR="005D6EBC" w:rsidRDefault="005D6EBC" w:rsidP="004062F2">
      <w:pPr>
        <w:pStyle w:val="Uvuenotijeloteksta"/>
        <w:ind w:left="0"/>
      </w:pPr>
    </w:p>
    <w:p w14:paraId="299A63DD" w14:textId="77777777" w:rsidR="005D6EBC" w:rsidRDefault="005D6EBC" w:rsidP="004062F2">
      <w:pPr>
        <w:pStyle w:val="Uvuenotijeloteksta"/>
        <w:ind w:left="0"/>
      </w:pPr>
      <w:r>
        <w:t xml:space="preserve">                                                                </w:t>
      </w:r>
      <w:r w:rsidR="00F34385">
        <w:t xml:space="preserve">                     PREDSJEDNIK OPĆINSKOG VIJEĆA</w:t>
      </w:r>
    </w:p>
    <w:p w14:paraId="22F5EDA1" w14:textId="77777777" w:rsidR="004062F2" w:rsidRDefault="00F34385" w:rsidP="004062F2">
      <w:pPr>
        <w:pStyle w:val="Uvuenotijeloteksta"/>
        <w:ind w:left="0"/>
      </w:pPr>
      <w:r>
        <w:t xml:space="preserve">                                                                                                      Predrag Štromar</w:t>
      </w:r>
    </w:p>
    <w:p w14:paraId="4FA9F2E2" w14:textId="77777777" w:rsidR="003065D0" w:rsidRDefault="003065D0"/>
    <w:sectPr w:rsidR="003065D0" w:rsidSect="001E645E">
      <w:footerReference w:type="default" r:id="rId8"/>
      <w:pgSz w:w="12240" w:h="15840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CC53" w14:textId="77777777" w:rsidR="00C755F5" w:rsidRDefault="00C755F5" w:rsidP="00194E65">
      <w:r>
        <w:separator/>
      </w:r>
    </w:p>
  </w:endnote>
  <w:endnote w:type="continuationSeparator" w:id="0">
    <w:p w14:paraId="23A3981F" w14:textId="77777777" w:rsidR="00C755F5" w:rsidRDefault="00C755F5" w:rsidP="0019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1047"/>
      <w:docPartObj>
        <w:docPartGallery w:val="Page Numbers (Bottom of Page)"/>
        <w:docPartUnique/>
      </w:docPartObj>
    </w:sdtPr>
    <w:sdtContent>
      <w:p w14:paraId="2CD928C9" w14:textId="77777777" w:rsidR="00194E65" w:rsidRDefault="00D029DF">
        <w:pPr>
          <w:pStyle w:val="Podnoje"/>
          <w:jc w:val="right"/>
        </w:pPr>
        <w:r>
          <w:fldChar w:fldCharType="begin"/>
        </w:r>
        <w:r w:rsidR="00060A3F">
          <w:instrText xml:space="preserve"> PAGE   \* MERGEFORMAT </w:instrText>
        </w:r>
        <w:r>
          <w:fldChar w:fldCharType="separate"/>
        </w:r>
        <w:r w:rsidR="005530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1FE7D0A" w14:textId="77777777" w:rsidR="00194E65" w:rsidRDefault="00194E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1C1E" w14:textId="77777777" w:rsidR="00C755F5" w:rsidRDefault="00C755F5" w:rsidP="00194E65">
      <w:r>
        <w:separator/>
      </w:r>
    </w:p>
  </w:footnote>
  <w:footnote w:type="continuationSeparator" w:id="0">
    <w:p w14:paraId="49D08D78" w14:textId="77777777" w:rsidR="00C755F5" w:rsidRDefault="00C755F5" w:rsidP="00194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F2"/>
    <w:rsid w:val="00005B1D"/>
    <w:rsid w:val="000362C5"/>
    <w:rsid w:val="00060A3F"/>
    <w:rsid w:val="000618BC"/>
    <w:rsid w:val="001738FE"/>
    <w:rsid w:val="00194E65"/>
    <w:rsid w:val="001A4947"/>
    <w:rsid w:val="001A5E83"/>
    <w:rsid w:val="001B4597"/>
    <w:rsid w:val="001C2026"/>
    <w:rsid w:val="001D1D28"/>
    <w:rsid w:val="001D6956"/>
    <w:rsid w:val="001E645E"/>
    <w:rsid w:val="00216389"/>
    <w:rsid w:val="00224B3C"/>
    <w:rsid w:val="002922E4"/>
    <w:rsid w:val="00297286"/>
    <w:rsid w:val="002A6BA0"/>
    <w:rsid w:val="002C107D"/>
    <w:rsid w:val="002C40EA"/>
    <w:rsid w:val="002F21D2"/>
    <w:rsid w:val="00305AF2"/>
    <w:rsid w:val="003065D0"/>
    <w:rsid w:val="0032275B"/>
    <w:rsid w:val="003328E4"/>
    <w:rsid w:val="00362467"/>
    <w:rsid w:val="003A27CC"/>
    <w:rsid w:val="003D476A"/>
    <w:rsid w:val="003D592A"/>
    <w:rsid w:val="003F0BC5"/>
    <w:rsid w:val="004062F2"/>
    <w:rsid w:val="00467389"/>
    <w:rsid w:val="0048713B"/>
    <w:rsid w:val="004B2B44"/>
    <w:rsid w:val="004C330B"/>
    <w:rsid w:val="004D02BA"/>
    <w:rsid w:val="004D122A"/>
    <w:rsid w:val="004E1A9A"/>
    <w:rsid w:val="00525B69"/>
    <w:rsid w:val="0055309F"/>
    <w:rsid w:val="00592AEE"/>
    <w:rsid w:val="0059485A"/>
    <w:rsid w:val="005A7D3D"/>
    <w:rsid w:val="005B09F2"/>
    <w:rsid w:val="005B6EED"/>
    <w:rsid w:val="005D1744"/>
    <w:rsid w:val="005D1853"/>
    <w:rsid w:val="005D6EBC"/>
    <w:rsid w:val="005E6498"/>
    <w:rsid w:val="00610D6C"/>
    <w:rsid w:val="00620FC0"/>
    <w:rsid w:val="00656EA2"/>
    <w:rsid w:val="00674ABF"/>
    <w:rsid w:val="00680EA6"/>
    <w:rsid w:val="006A2A50"/>
    <w:rsid w:val="006D229F"/>
    <w:rsid w:val="006D702C"/>
    <w:rsid w:val="006E13F5"/>
    <w:rsid w:val="00704BA1"/>
    <w:rsid w:val="0073675F"/>
    <w:rsid w:val="00741A4F"/>
    <w:rsid w:val="0075456A"/>
    <w:rsid w:val="0078175D"/>
    <w:rsid w:val="00782C5A"/>
    <w:rsid w:val="00797D5E"/>
    <w:rsid w:val="007C517C"/>
    <w:rsid w:val="007E3F29"/>
    <w:rsid w:val="007E4574"/>
    <w:rsid w:val="00810E5F"/>
    <w:rsid w:val="00815E40"/>
    <w:rsid w:val="00817CB3"/>
    <w:rsid w:val="00857F1C"/>
    <w:rsid w:val="00862F5F"/>
    <w:rsid w:val="00895011"/>
    <w:rsid w:val="008D4B48"/>
    <w:rsid w:val="008E65DF"/>
    <w:rsid w:val="00903EB6"/>
    <w:rsid w:val="00917B6E"/>
    <w:rsid w:val="009315E2"/>
    <w:rsid w:val="0093254B"/>
    <w:rsid w:val="00980799"/>
    <w:rsid w:val="009F52D9"/>
    <w:rsid w:val="00A057C9"/>
    <w:rsid w:val="00A713AB"/>
    <w:rsid w:val="00A754A4"/>
    <w:rsid w:val="00AC3DF2"/>
    <w:rsid w:val="00AF7202"/>
    <w:rsid w:val="00B330CC"/>
    <w:rsid w:val="00B33718"/>
    <w:rsid w:val="00B73FD0"/>
    <w:rsid w:val="00B750AE"/>
    <w:rsid w:val="00B96CE2"/>
    <w:rsid w:val="00BE1C85"/>
    <w:rsid w:val="00C15ABD"/>
    <w:rsid w:val="00C36B82"/>
    <w:rsid w:val="00C43DBE"/>
    <w:rsid w:val="00C468B3"/>
    <w:rsid w:val="00C503DE"/>
    <w:rsid w:val="00C755F5"/>
    <w:rsid w:val="00CA1FB8"/>
    <w:rsid w:val="00D029DF"/>
    <w:rsid w:val="00D12A81"/>
    <w:rsid w:val="00D25033"/>
    <w:rsid w:val="00D528A4"/>
    <w:rsid w:val="00DA76CD"/>
    <w:rsid w:val="00DB4247"/>
    <w:rsid w:val="00DC4AE6"/>
    <w:rsid w:val="00E12EE7"/>
    <w:rsid w:val="00E35807"/>
    <w:rsid w:val="00E717D5"/>
    <w:rsid w:val="00EC5F4F"/>
    <w:rsid w:val="00F17F88"/>
    <w:rsid w:val="00F27780"/>
    <w:rsid w:val="00F34385"/>
    <w:rsid w:val="00F47D98"/>
    <w:rsid w:val="00F65588"/>
    <w:rsid w:val="00F678E2"/>
    <w:rsid w:val="00F7049C"/>
    <w:rsid w:val="00FC6031"/>
    <w:rsid w:val="00FE24F2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1E7E"/>
  <w15:docId w15:val="{FCC5E28E-864C-4EB7-9A35-531F12B2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4062F2"/>
    <w:pPr>
      <w:keepNext/>
      <w:outlineLvl w:val="0"/>
    </w:pPr>
    <w:rPr>
      <w:rFonts w:ascii="Arial" w:hAnsi="Arial" w:cs="Arial"/>
      <w:b/>
      <w:bCs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62F2"/>
    <w:rPr>
      <w:rFonts w:ascii="Arial" w:eastAsia="Times New Roman" w:hAnsi="Arial" w:cs="Arial"/>
      <w:b/>
      <w:bCs/>
      <w:iCs/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semiHidden/>
    <w:rsid w:val="004062F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4062F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jeloteksta-uvlaka3">
    <w:name w:val="Body Text Indent 3"/>
    <w:aliases w:val=" uvlaka 3"/>
    <w:basedOn w:val="Normal"/>
    <w:link w:val="Tijeloteksta-uvlaka3Char"/>
    <w:semiHidden/>
    <w:rsid w:val="004062F2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semiHidden/>
    <w:rsid w:val="004062F2"/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styleId="Bezproreda">
    <w:name w:val="No Spacing"/>
    <w:uiPriority w:val="1"/>
    <w:qFormat/>
    <w:rsid w:val="005D6EBC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194E65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94E6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194E65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94E6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675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675F"/>
    <w:rPr>
      <w:rFonts w:ascii="Tahoma" w:eastAsia="Times New Roman" w:hAnsi="Tahoma" w:cs="Tahoma"/>
      <w:sz w:val="16"/>
      <w:szCs w:val="16"/>
      <w:lang w:val="hr-HR" w:eastAsia="hr-HR"/>
    </w:rPr>
  </w:style>
  <w:style w:type="table" w:styleId="Tablicapopisa4-isticanje6">
    <w:name w:val="List Table 4 Accent 6"/>
    <w:basedOn w:val="Obinatablica"/>
    <w:uiPriority w:val="49"/>
    <w:rsid w:val="0075456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vijetlatablicareetke1-isticanje6">
    <w:name w:val="Grid Table 1 Light Accent 6"/>
    <w:basedOn w:val="Obinatablica"/>
    <w:uiPriority w:val="46"/>
    <w:rsid w:val="0075456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1D6D1-455A-4515-A1DC-8ED7FD56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Korisnik</cp:lastModifiedBy>
  <cp:revision>4</cp:revision>
  <cp:lastPrinted>2021-12-22T09:34:00Z</cp:lastPrinted>
  <dcterms:created xsi:type="dcterms:W3CDTF">2023-03-21T09:18:00Z</dcterms:created>
  <dcterms:modified xsi:type="dcterms:W3CDTF">2023-03-22T09:12:00Z</dcterms:modified>
</cp:coreProperties>
</file>