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80"/>
          <w:sz w:val="20"/>
          <w:szCs w:val="20"/>
          <w:lang w:val="de-DE"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</w:t>
      </w:r>
      <w:r w:rsidRPr="001757CE">
        <w:rPr>
          <w:rFonts w:ascii="Arial" w:eastAsia="Times New Roman" w:hAnsi="Arial" w:cs="Arial"/>
          <w:sz w:val="20"/>
          <w:szCs w:val="20"/>
          <w:lang w:eastAsia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6pt" o:ole="">
            <v:imagedata r:id="rId5" o:title=""/>
          </v:shape>
          <o:OLEObject Type="Embed" ProgID="MSDraw" ShapeID="_x0000_i1025" DrawAspect="Content" ObjectID="_1701510288" r:id="rId6"/>
        </w:object>
      </w:r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</w:pPr>
      <w:r w:rsidRPr="001757C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REPUBLIKA HRVATSKA</w:t>
      </w: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</w:t>
      </w:r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   Varaždinska županija</w:t>
      </w:r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 </w:t>
      </w:r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Općinsko vijeće </w:t>
      </w:r>
    </w:p>
    <w:p w:rsidR="003F2DBF" w:rsidRPr="001757CE" w:rsidRDefault="008776DE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 : 003-05/21-01/36</w:t>
      </w:r>
      <w:bookmarkStart w:id="0" w:name="_GoBack"/>
      <w:bookmarkEnd w:id="0"/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2186/011-01-21</w:t>
      </w: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Vinica, 13. prosinca 2021</w:t>
      </w: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3F2DBF" w:rsidRPr="001757CE" w:rsidRDefault="003F2DBF" w:rsidP="003F2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F2DBF" w:rsidRPr="001757CE" w:rsidRDefault="003F2DBF" w:rsidP="003F2DBF">
      <w:pPr>
        <w:jc w:val="both"/>
        <w:rPr>
          <w:rFonts w:ascii="Times New Roman" w:hAnsi="Times New Roman" w:cs="Times New Roman"/>
          <w:noProof/>
        </w:rPr>
      </w:pPr>
      <w:r w:rsidRPr="001757CE">
        <w:rPr>
          <w:rFonts w:ascii="Times New Roman" w:hAnsi="Times New Roman" w:cs="Times New Roman"/>
          <w:noProof/>
        </w:rPr>
        <w:t>Na temelju članka 39. Zakona o proračunu(„Narodne novine“ brroj 87/08., 136/12. i 15/15.) te članka 30. Statuta Općine Vinica („Službeni vjesnik Varaždinske županije“ broj 30/20.</w:t>
      </w:r>
      <w:r>
        <w:rPr>
          <w:rFonts w:ascii="Times New Roman" w:hAnsi="Times New Roman" w:cs="Times New Roman"/>
          <w:noProof/>
        </w:rPr>
        <w:t>i 09/21.</w:t>
      </w:r>
      <w:r w:rsidRPr="001757CE">
        <w:rPr>
          <w:rFonts w:ascii="Times New Roman" w:hAnsi="Times New Roman" w:cs="Times New Roman"/>
          <w:noProof/>
        </w:rPr>
        <w:t>) , Općinsko vijeće Općine Vin</w:t>
      </w:r>
      <w:r>
        <w:rPr>
          <w:rFonts w:ascii="Times New Roman" w:hAnsi="Times New Roman" w:cs="Times New Roman"/>
          <w:noProof/>
        </w:rPr>
        <w:t>ica na sjednici održanoj dana 13.prosinca 2021</w:t>
      </w:r>
      <w:r w:rsidRPr="001757CE">
        <w:rPr>
          <w:rFonts w:ascii="Times New Roman" w:hAnsi="Times New Roman" w:cs="Times New Roman"/>
          <w:noProof/>
        </w:rPr>
        <w:t xml:space="preserve">.godine donosi </w:t>
      </w:r>
    </w:p>
    <w:p w:rsidR="003F2DBF" w:rsidRPr="001757CE" w:rsidRDefault="003F2DBF" w:rsidP="003F2D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57CE">
        <w:rPr>
          <w:rFonts w:ascii="Times New Roman" w:hAnsi="Times New Roman" w:cs="Times New Roman"/>
          <w:b/>
          <w:noProof/>
          <w:sz w:val="24"/>
          <w:szCs w:val="24"/>
        </w:rPr>
        <w:t>PROJEKCIJU PRORAČUNA</w:t>
      </w:r>
    </w:p>
    <w:p w:rsidR="003F2DBF" w:rsidRPr="001757CE" w:rsidRDefault="003F2DBF" w:rsidP="003F2D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OPĆINE VINICA ZA 2023. i 2024</w:t>
      </w:r>
      <w:r w:rsidRPr="001757CE">
        <w:rPr>
          <w:rFonts w:ascii="Times New Roman" w:hAnsi="Times New Roman" w:cs="Times New Roman"/>
          <w:b/>
          <w:noProof/>
          <w:sz w:val="24"/>
          <w:szCs w:val="24"/>
        </w:rPr>
        <w:t>.GODINU</w:t>
      </w:r>
    </w:p>
    <w:p w:rsidR="003F2DBF" w:rsidRPr="001757CE" w:rsidRDefault="003F2DBF" w:rsidP="003F2D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F2DBF" w:rsidRPr="001757CE" w:rsidRDefault="003F2DBF" w:rsidP="003F2D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hAnsi="Times New Roman" w:cs="Times New Roman"/>
          <w:noProof/>
          <w:sz w:val="24"/>
          <w:szCs w:val="24"/>
        </w:rPr>
        <w:t>I.OPĆI DIO</w:t>
      </w:r>
    </w:p>
    <w:p w:rsidR="003F2DBF" w:rsidRPr="001757CE" w:rsidRDefault="003F2DBF" w:rsidP="003F2D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F2DBF" w:rsidRPr="001757CE" w:rsidRDefault="003F2DBF" w:rsidP="003F2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hAnsi="Times New Roman" w:cs="Times New Roman"/>
          <w:noProof/>
          <w:sz w:val="24"/>
          <w:szCs w:val="24"/>
        </w:rPr>
        <w:t xml:space="preserve">Članak 1. </w:t>
      </w:r>
    </w:p>
    <w:p w:rsidR="003F2DBF" w:rsidRPr="001757CE" w:rsidRDefault="003F2DBF" w:rsidP="003F2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2DBF" w:rsidRPr="001757CE" w:rsidRDefault="003F2DBF" w:rsidP="003F2D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hAnsi="Times New Roman" w:cs="Times New Roman"/>
          <w:noProof/>
          <w:sz w:val="24"/>
          <w:szCs w:val="24"/>
        </w:rPr>
        <w:t>Projekcija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Proračuna Općine Vinica za 2023. i 2024</w:t>
      </w:r>
      <w:r w:rsidRPr="001757CE">
        <w:rPr>
          <w:rFonts w:ascii="Times New Roman" w:hAnsi="Times New Roman" w:cs="Times New Roman"/>
          <w:noProof/>
          <w:sz w:val="24"/>
          <w:szCs w:val="24"/>
        </w:rPr>
        <w:t xml:space="preserve">. godinu obuhvaća: </w:t>
      </w:r>
    </w:p>
    <w:p w:rsidR="003F2DBF" w:rsidRDefault="003F2DBF" w:rsidP="003F2DB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F2DBF" w:rsidRPr="002B2039" w:rsidRDefault="003F2DBF" w:rsidP="003F2DBF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>I. OPĆI DIO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RAČUN PRIHODA I RASHODA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4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za 2022.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 2023.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 2024.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6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Prihodi poslovanja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13.181.685,00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13.676.000,00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14.376.000,00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7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Prihodi od prodaje nefinancijske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190.000,00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150.000,00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150.000,00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3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Rashodi poslovanja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11.641.685,00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10.749.000,00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11.519.000,00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4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Rashodi za nabavu nefinancijske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3.730.000,00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4.877.000,00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4.807.000,00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lang w:eastAsia="hr-HR"/>
        </w:rPr>
        <w:t>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150"/>
          <w:tab w:val="right" w:pos="8145"/>
          <w:tab w:val="right" w:pos="10157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Razlika - višak/manjak ((6 + 7) - (3 + 4))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-2.000.000,00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-1.800.000,00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-1.800.000,00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6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149"/>
          <w:tab w:val="right" w:pos="8145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Ukupno prihodi i primici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13.371.685,00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13.826.000,00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14.526.000,00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149"/>
          <w:tab w:val="right" w:pos="8144"/>
          <w:tab w:val="right" w:pos="10154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Višak/manjak prihoda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2.000.000,00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1.800.000,00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1.800.000,00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152"/>
          <w:tab w:val="right" w:pos="8145"/>
          <w:tab w:val="right" w:pos="10158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Sveukupno prihodi i primici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15.371.685,00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15.626.000,00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16.326.000,00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147"/>
          <w:tab w:val="right" w:pos="8145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Ukupno rashodi i izdaci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15.371.685,00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15.626.000,00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4"/>
          <w:szCs w:val="24"/>
          <w:lang w:eastAsia="hr-HR"/>
        </w:rPr>
        <w:t>16.326.000,00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154"/>
          <w:tab w:val="right" w:pos="8144"/>
          <w:tab w:val="right" w:pos="10159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Višak/Manjak + Neto financiranje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2.</w:t>
      </w: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Prihodi i rashodi te primici i izdaci po ekonomskoj klasifikaciji utvrđuju se u Računu prihoda i rashoda i Računu financiranja u Projekciji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Proračuna Općine Vinica za 2023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. i 202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. godinu  kako slijedi :</w:t>
      </w: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3F2DBF" w:rsidRPr="002B203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5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RAČUN PRIHODA I RASHODA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za 2022.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</w:p>
    <w:p w:rsidR="003F2DBF" w:rsidRPr="002B2039" w:rsidRDefault="003F2DBF" w:rsidP="003F2DBF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2023.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2024.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poslovanja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13.181.685,00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13.676.000,00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14.376.000,00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61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Prihodi od poreza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5.275.000,00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5.300.000,00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5.400.000,00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63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Pomoći iz inozemstva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4.799.735,00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5.000.000,00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5.500.000,00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64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Prihodi od 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336.450,00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466.000,00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471.000,00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65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Prihodi od upravnih i administrativnih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1.423.500,00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1.490.000,00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1.515.000,00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pristojbi, pristojbi po posebnim propisima 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naknada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66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 te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110.000,00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160.000,00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pruženih usluga i prihodi od donacija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67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Prihodi iz proračuna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1.242.000,00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1.300.000,00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1.320.000,00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68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Kazne, upravne mjere i ostali prihodi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nefinancijske 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150.000,00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150.000,00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71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 xml:space="preserve">Prihodi od prodaje </w:t>
      </w:r>
      <w:proofErr w:type="spellStart"/>
      <w:r w:rsidRPr="002B2039">
        <w:rPr>
          <w:rFonts w:ascii="Arial" w:eastAsiaTheme="minorEastAsia" w:hAnsi="Arial" w:cs="Arial"/>
          <w:sz w:val="18"/>
          <w:szCs w:val="18"/>
          <w:lang w:eastAsia="hr-HR"/>
        </w:rPr>
        <w:t>neproizvedene</w:t>
      </w:r>
      <w:proofErr w:type="spellEnd"/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dugotrajne 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72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Prihodi od prodaje proizvedene dugotrajne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140.000,00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Ukupno prihodi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13.371.685,00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13.826.000,00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14.526.000,00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11.641.685,00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10.749.000,00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11.519.000,00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31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Rashodi za zaposlene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2.774.844,00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3.000.000,00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3.050.000,00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32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3.521.470,00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2.680.000,00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3.040.000,00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34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Financijski rashodi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54.600,00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59.000,00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59.000,00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35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Subvencije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521.000,00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36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1.962.000,00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1.770.000,00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1.850.000,00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37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705.000,00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840.000,00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960.000,00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38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2.102.771,00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2.400.000,00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2.560.000,00</w:t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3.730.000,00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4.877.000,00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4.807.000,00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42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1.545.000,00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1.877.000,00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3.907.000,00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45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Rashodi za dodatna ulaganja na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2.185.000,00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3.000.000,00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20"/>
          <w:szCs w:val="20"/>
          <w:lang w:eastAsia="hr-HR"/>
        </w:rPr>
        <w:t>900.000,00</w:t>
      </w:r>
    </w:p>
    <w:p w:rsidR="003F2DBF" w:rsidRPr="002B2039" w:rsidRDefault="003F2DBF" w:rsidP="003F2DBF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sz w:val="18"/>
          <w:szCs w:val="18"/>
          <w:lang w:eastAsia="hr-HR"/>
        </w:rPr>
        <w:t>nefinancijskoj imovini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B2039" w:rsidRDefault="003F2DBF" w:rsidP="003F2DB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Ukupno rashodi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15.371.685,00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15.626.000,00</w:t>
      </w:r>
      <w:r w:rsidRPr="002B2039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B2039">
        <w:rPr>
          <w:rFonts w:ascii="Arial" w:eastAsiaTheme="minorEastAsia" w:hAnsi="Arial" w:cs="Arial"/>
          <w:b/>
          <w:bCs/>
          <w:lang w:eastAsia="hr-HR"/>
        </w:rPr>
        <w:t>16.326.000,00</w:t>
      </w:r>
    </w:p>
    <w:p w:rsidR="003F2DBF" w:rsidRDefault="003F2DBF" w:rsidP="003F2DBF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3F2DBF" w:rsidRPr="002B2039" w:rsidRDefault="003F2DBF" w:rsidP="003F2DBF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1757CE" w:rsidRDefault="003F2DBF" w:rsidP="003F2DBF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II. POSEBNI DIO</w:t>
      </w: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3.</w:t>
      </w: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1757CE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Rashodi poslovanja i rashodi za nabavu nefinancijske imovine i izdaci za financijsku imovinu i otplatu zajmova u projekciji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Proračuna Općine Vinica za 2023. i 2024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. godinu  raspoređuju se po korisnicima i programima u Posebnom dijelu Projekcije kako slijedi :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za 2022.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2023.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2024.</w:t>
      </w:r>
    </w:p>
    <w:p w:rsidR="003F2DBF" w:rsidRPr="002155C4" w:rsidRDefault="003F2DBF" w:rsidP="003F2DBF">
      <w:pPr>
        <w:widowControl w:val="0"/>
        <w:tabs>
          <w:tab w:val="left" w:pos="300"/>
          <w:tab w:val="center" w:pos="1440"/>
          <w:tab w:val="left" w:pos="17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001  JEDINSTVENI UPRAVNI ODJEL OPĆINE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4.293.676,00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2.069.000,00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2.139.000,00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lastRenderedPageBreak/>
        <w:t>001  JEDINSTVENI UPRAVNI ODJEL OPĆINE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4.293.676,00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2.069.000,00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2.139.000,00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4.148.676,00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1.919.000,00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1.939.000,00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1001A100101  PLAĆE I NAKNADE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1.399.944,00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1.630.000,00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1.650.000,00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1.399.944,00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1.630.000,00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31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zaposlene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1.205.244,00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1.400.000,00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194.700,00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230.000,00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2.748.732,00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289.000,00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289.000,00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2.748.732,00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289.000,00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1.343.732,00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Financijski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49.000,00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35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Subvencije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521.000,00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36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330.000,00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265.000,00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145.000,00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145.000,00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145.000,00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200.000,00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002  PREDSTAVNIČKA I IZVRŠNA TIJELA OPĆINE I MJESNE SAMOUPRAVE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130.138,00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140.000,00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002  PREDSTAVNIČKA I IZVRŠNA TIJELA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130.138,00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140.000,00</w:t>
      </w: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OPĆINE I MJESNE SAMOUPRAVE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130.138,00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140.000,00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130.138,00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140.000,00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130.138,00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130.138,00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140.000,00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003  KOMUNALNE STAMBENE I DJELATNOSTI UREĐENJA PROSTORA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5.780.820,00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7.127.000,00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7.257.000,00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00301  KOMUNALNA DJELATNOST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2.735.000,00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3.827.000,00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6.057.000,00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1.712.000,00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2.550.000,00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1.712.000,00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2.350.000,00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2.550.000,00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1.850.000,00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2.050.000,00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742.000,00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850.000,00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950.000,00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870.000,00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1.023.000,00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1.477.000,00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3.507.000,00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1.023.000,00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1.477.000,00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3.507.000,00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203.000,00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1.227.000,00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3.207.000,00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820.000,00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1.227.000,00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3.207.000,00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00302  STAMBENA DJELATNOST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2.249.000,00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3.100.000,00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1.000.000,00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64.000,00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64.000,00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64.000,00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64.000,00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2.185.000,00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900.000,00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2.185.000,00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900.000,00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45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dodatna ulaganja 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2.185.000,00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900.000,00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nefinancijskoj imovini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00303  PROSTORNO PLANIRANJE, ZAŠTITA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590.500,00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200.000,00</w:t>
      </w: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OKOLIŠA I KULTURNIH SPOMENIKA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110.500,00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110.500,00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55.500,00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480.000,00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00304  VATROGASTVO I SIGURNOST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206.320,00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206.320,00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206.320,00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206.320,00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206.320,00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004  KULTURA, ZNANOST, ŠPORT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630.000,00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00401  KULTURA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00403  ŠPORT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460.000,00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1.100.000,00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460.000,00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1.100.000,00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460.000,00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460.000,00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110.000,00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750.000,00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750.000,00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3F2DBF" w:rsidRPr="002155C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005  ŠKOLSTVO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2.067.000,00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2.320.000,00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2.470.000,00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00501  PREDŠKOLSKI ODGOJ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1.312.000,00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1.400.000,00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1.420.000,00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1.312.000,00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1.400.000,00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1.420.000,00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1.312.000,00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1.400.000,00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1.420.000,00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1.312.000,00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1.400.000,00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1.420.000,00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36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1.242.000,00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1.300.000,00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1.320.000,00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00502  OSNOVNO OBRAZOVANJE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450.000,00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500.000,00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500.000,00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450.000,00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500.000,00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36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00503  SREDNJEŠKOLSKO OBRAZOVANJE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150.000,00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1001A100105  TEKUĆE POTPORE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36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75.000,00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120.000,00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00504  VISOKOŠKOLSKO OBRAZOVANJE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290.000,00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290.000,00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290.000,00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290.000,00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290.000,00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400.000,00</w:t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006  SOCIJALNA SKRB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006  SOCIJALNA SKRB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155.000,00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310.000,00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200.000,00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eastAsiaTheme="minorEastAsia" w:hAnsi="Arial" w:cs="Arial"/>
          <w:sz w:val="18"/>
          <w:szCs w:val="18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110.000,00</w:t>
      </w: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007  OSTALI KORISNICI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230.951,00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007  OSTALI KORISNICI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230.951,00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230.951,00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400.000,00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230.951,00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230.951,00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230.951,00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400.000,00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3F2DBF" w:rsidRPr="002155C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008  DJEČJI VRTIĆ VINICA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2.084.100,00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2.140.000,00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2.210.000,00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Arial" w:eastAsiaTheme="minorEastAsia" w:hAnsi="Arial" w:cs="Arial"/>
          <w:b/>
          <w:bCs/>
          <w:lang w:eastAsia="hr-HR"/>
        </w:rPr>
        <w:t>008  DJEČJI VRTIĆ VINICA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2.084.100,00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2.140.000,00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lang w:eastAsia="hr-HR"/>
        </w:rPr>
        <w:t>2.210.000,00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PROGRAM 1003 RASHODI DJEČJEG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2.084.100,00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2.140.000,00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2.210.000,00</w:t>
      </w: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VRTIĆA VINICA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1003A100301  Rashodi za zaposlene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1.569.600,00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1.600.000,00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1.650.000,00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1.569.600,00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31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Rashodi za zaposlene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1.569.600,00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1.600.000,00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1.650.000,00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1003A100302  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514.500,00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540.000,00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20"/>
          <w:szCs w:val="20"/>
          <w:lang w:eastAsia="hr-HR"/>
        </w:rPr>
        <w:t>560.000,00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514.500,00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540.000,00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560.000,00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508.900,00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530.000,00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550.000,00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34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Financijski rashodi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5.600,00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15.371.685,00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15.626.000,00</w:t>
      </w:r>
      <w:r w:rsidRPr="002155C4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2155C4">
        <w:rPr>
          <w:rFonts w:ascii="Arial" w:eastAsiaTheme="minorEastAsia" w:hAnsi="Arial" w:cs="Arial"/>
          <w:b/>
          <w:bCs/>
          <w:lang w:eastAsia="hr-HR"/>
        </w:rPr>
        <w:t>16.326.000,00</w:t>
      </w:r>
    </w:p>
    <w:p w:rsidR="003F2DBF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3F2DBF" w:rsidRPr="002155C4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2155C4" w:rsidRDefault="003F2DBF" w:rsidP="003F2D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Pr="001757CE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4.</w:t>
      </w:r>
    </w:p>
    <w:p w:rsidR="003F2DBF" w:rsidRPr="001757CE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Projekcija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Proračuna Općine Vinica za 2023. i  2024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.godinu stupa na snagu osmog dana od dana objave u „Službenom vjesniku Varaždinske županije“.</w:t>
      </w:r>
    </w:p>
    <w:p w:rsidR="003F2DBF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F2DBF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PREDSJEDNIK OPĆINSKOG VIJEĆA</w:t>
      </w:r>
    </w:p>
    <w:p w:rsidR="003F2DBF" w:rsidRPr="002155C4" w:rsidRDefault="003F2DBF" w:rsidP="003F2DBF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3F2DBF" w:rsidRPr="002155C4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Predrag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Štromar</w:t>
      </w:r>
      <w:proofErr w:type="spellEnd"/>
    </w:p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BF"/>
    <w:rsid w:val="000B7102"/>
    <w:rsid w:val="003F2DBF"/>
    <w:rsid w:val="007F5150"/>
    <w:rsid w:val="008776DE"/>
    <w:rsid w:val="00D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2021-12-20T11:57:00Z</cp:lastPrinted>
  <dcterms:created xsi:type="dcterms:W3CDTF">2021-12-20T08:35:00Z</dcterms:created>
  <dcterms:modified xsi:type="dcterms:W3CDTF">2021-12-20T11:58:00Z</dcterms:modified>
</cp:coreProperties>
</file>