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3E37" w14:textId="77777777" w:rsidR="00252AEC" w:rsidRPr="007F7ECC" w:rsidRDefault="00252AEC" w:rsidP="00252A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bookmarkStart w:id="0" w:name="_Hlk213915211"/>
      <w:r w:rsidRPr="00AF2AFB">
        <w:rPr>
          <w:rFonts w:ascii="Times New Roman" w:hAnsi="Times New Roman" w:cs="Times New Roman"/>
          <w:i/>
          <w:sz w:val="24"/>
          <w:szCs w:val="24"/>
          <w:lang w:val="hr-HR" w:eastAsia="hr-HR"/>
        </w:rPr>
        <w:t xml:space="preserve">                  </w:t>
      </w:r>
      <w:r w:rsidRPr="007F7ECC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15A5201F" wp14:editId="7ACDFAAF">
            <wp:extent cx="474453" cy="628042"/>
            <wp:effectExtent l="0" t="0" r="1905" b="635"/>
            <wp:docPr id="454395413" name="Slika 45439541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DA28A" w14:textId="77777777" w:rsidR="00252AEC" w:rsidRPr="007F7ECC" w:rsidRDefault="00252AEC" w:rsidP="00252A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 REPUBLIKA HRVATSKA</w:t>
      </w:r>
    </w:p>
    <w:p w14:paraId="01C16AD1" w14:textId="77777777" w:rsidR="00252AEC" w:rsidRPr="007F7ECC" w:rsidRDefault="00252AEC" w:rsidP="00252A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 w:eastAsia="hr-HR"/>
        </w:rPr>
        <w:t>VARAŽDINSKA ŽUPANIJA</w:t>
      </w:r>
    </w:p>
    <w:p w14:paraId="742B8FDE" w14:textId="77777777" w:rsidR="00252AEC" w:rsidRPr="007F7ECC" w:rsidRDefault="00252AEC" w:rsidP="00252A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        OPĆINA VINICA</w:t>
      </w:r>
    </w:p>
    <w:p w14:paraId="463B1D7A" w14:textId="300029B4" w:rsidR="00252AEC" w:rsidRPr="007F7ECC" w:rsidRDefault="00252AEC" w:rsidP="00252A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</w:pPr>
      <w:r w:rsidRPr="007F7ECC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 xml:space="preserve">     </w:t>
      </w:r>
      <w:r w:rsidR="007E7FFB" w:rsidRPr="007F7ECC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 xml:space="preserve">     </w:t>
      </w:r>
      <w:r w:rsidRPr="007F7ECC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>Općinsko vijeće</w:t>
      </w:r>
    </w:p>
    <w:p w14:paraId="64E6BC64" w14:textId="77777777" w:rsidR="00252AEC" w:rsidRPr="007F7ECC" w:rsidRDefault="00252AEC" w:rsidP="00252A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</w:pPr>
    </w:p>
    <w:p w14:paraId="02D637D3" w14:textId="564011B9" w:rsidR="00252AEC" w:rsidRPr="007F7ECC" w:rsidRDefault="00252AEC" w:rsidP="00252AE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hr-HR"/>
        </w:rPr>
      </w:pPr>
      <w:r w:rsidRPr="007F7ECC">
        <w:rPr>
          <w:rFonts w:ascii="Times New Roman" w:eastAsia="Calibri" w:hAnsi="Times New Roman" w:cs="Times New Roman"/>
          <w:noProof/>
          <w:sz w:val="24"/>
          <w:szCs w:val="24"/>
          <w:lang w:val="hr-HR"/>
        </w:rPr>
        <w:t>KLASA: 024-04/25-01/</w:t>
      </w:r>
      <w:r w:rsidR="007422B8">
        <w:rPr>
          <w:rFonts w:ascii="Times New Roman" w:eastAsia="Calibri" w:hAnsi="Times New Roman" w:cs="Times New Roman"/>
          <w:noProof/>
          <w:sz w:val="24"/>
          <w:szCs w:val="24"/>
          <w:lang w:val="hr-HR"/>
        </w:rPr>
        <w:t>51</w:t>
      </w:r>
    </w:p>
    <w:p w14:paraId="6F2857EA" w14:textId="72F4D519" w:rsidR="00252AEC" w:rsidRPr="007F7ECC" w:rsidRDefault="00252AEC" w:rsidP="00252AE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hr-HR"/>
        </w:rPr>
      </w:pPr>
      <w:r w:rsidRPr="007F7ECC">
        <w:rPr>
          <w:rFonts w:ascii="Times New Roman" w:eastAsia="Calibri" w:hAnsi="Times New Roman" w:cs="Times New Roman"/>
          <w:noProof/>
          <w:sz w:val="24"/>
          <w:szCs w:val="24"/>
          <w:lang w:val="hr-HR"/>
        </w:rPr>
        <w:t>URBROJ: 2186-11-25-</w:t>
      </w:r>
      <w:r w:rsidR="007422B8">
        <w:rPr>
          <w:rFonts w:ascii="Times New Roman" w:eastAsia="Calibri" w:hAnsi="Times New Roman" w:cs="Times New Roman"/>
          <w:noProof/>
          <w:sz w:val="24"/>
          <w:szCs w:val="24"/>
          <w:lang w:val="hr-HR"/>
        </w:rPr>
        <w:t>1</w:t>
      </w:r>
    </w:p>
    <w:p w14:paraId="79C1AA09" w14:textId="772D83D8" w:rsidR="00252AEC" w:rsidRPr="007F7ECC" w:rsidRDefault="00252AEC" w:rsidP="00252AEC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hr-HR"/>
        </w:rPr>
      </w:pPr>
      <w:r w:rsidRPr="007F7ECC">
        <w:rPr>
          <w:rFonts w:ascii="Times New Roman" w:eastAsia="Calibri" w:hAnsi="Times New Roman" w:cs="Times New Roman"/>
          <w:noProof/>
          <w:sz w:val="24"/>
          <w:szCs w:val="24"/>
          <w:lang w:val="hr-HR"/>
        </w:rPr>
        <w:t>Vinica</w:t>
      </w:r>
      <w:bookmarkStart w:id="1" w:name="_Hlk107477342"/>
      <w:r w:rsidRPr="007F7ECC">
        <w:rPr>
          <w:rFonts w:ascii="Times New Roman" w:eastAsia="Calibri" w:hAnsi="Times New Roman" w:cs="Times New Roman"/>
          <w:noProof/>
          <w:sz w:val="24"/>
          <w:szCs w:val="24"/>
          <w:lang w:val="hr-HR"/>
        </w:rPr>
        <w:t xml:space="preserve">, </w:t>
      </w:r>
      <w:bookmarkEnd w:id="1"/>
      <w:r w:rsidR="007422B8">
        <w:rPr>
          <w:rFonts w:ascii="Times New Roman" w:eastAsia="Calibri" w:hAnsi="Times New Roman" w:cs="Times New Roman"/>
          <w:noProof/>
          <w:sz w:val="24"/>
          <w:szCs w:val="24"/>
          <w:lang w:val="hr-HR"/>
        </w:rPr>
        <w:t xml:space="preserve">12. studenog </w:t>
      </w:r>
      <w:r w:rsidRPr="007F7ECC">
        <w:rPr>
          <w:rFonts w:ascii="Times New Roman" w:eastAsia="Calibri" w:hAnsi="Times New Roman" w:cs="Times New Roman"/>
          <w:noProof/>
          <w:sz w:val="24"/>
          <w:szCs w:val="24"/>
          <w:lang w:val="hr-HR"/>
        </w:rPr>
        <w:t>2025. godine</w:t>
      </w:r>
    </w:p>
    <w:bookmarkEnd w:id="0"/>
    <w:p w14:paraId="7E33FB5A" w14:textId="77777777" w:rsidR="00E739DE" w:rsidRPr="007F7ECC" w:rsidRDefault="00E739DE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F12C16A" w14:textId="77777777" w:rsidR="00252AEC" w:rsidRPr="007F7ECC" w:rsidRDefault="00252AEC" w:rsidP="00252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D92E231" w14:textId="3BE4900F" w:rsidR="00252AEC" w:rsidRPr="007F7ECC" w:rsidRDefault="00252AEC" w:rsidP="00252AEC">
      <w:pPr>
        <w:spacing w:after="0" w:line="240" w:lineRule="auto"/>
        <w:ind w:firstLine="708"/>
        <w:jc w:val="both"/>
        <w:rPr>
          <w:rFonts w:ascii="Times New Roman" w:eastAsia="ArialMT" w:hAnsi="Times New Roman" w:cs="Times New Roman"/>
          <w:sz w:val="24"/>
          <w:szCs w:val="24"/>
          <w:lang w:val="hr-HR"/>
        </w:rPr>
      </w:pPr>
      <w:r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>Na temelju članka 5</w:t>
      </w:r>
      <w:r w:rsidR="00162221"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>0</w:t>
      </w:r>
      <w:r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 xml:space="preserve">. Zakona o </w:t>
      </w:r>
      <w:r w:rsidR="00162221"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>proračunu</w:t>
      </w:r>
      <w:r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 xml:space="preserve"> („Narodne novine</w:t>
      </w:r>
      <w:r w:rsidR="007E7FFB"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>”</w:t>
      </w:r>
      <w:r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 xml:space="preserve"> </w:t>
      </w:r>
      <w:r w:rsidR="00162221"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>144/21</w:t>
      </w:r>
      <w:r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>),</w:t>
      </w:r>
      <w:r w:rsidR="00162221"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62221"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>članka 234. Pravilnika o proračunskom računovodstvu i Računskom planu (“Narodne novine” 158/23, 154/24)</w:t>
      </w:r>
      <w:r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 xml:space="preserve"> te članka 30. Statuta Općine Vinica („Službeni vjesnik Varaždinske županije</w:t>
      </w:r>
      <w:r w:rsidR="007E7FFB"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 xml:space="preserve">” </w:t>
      </w:r>
      <w:r w:rsidRPr="007F7ECC">
        <w:rPr>
          <w:rFonts w:ascii="Times New Roman" w:eastAsia="ArialMT" w:hAnsi="Times New Roman" w:cs="Times New Roman"/>
          <w:sz w:val="24"/>
          <w:szCs w:val="24"/>
          <w:lang w:val="hr-HR"/>
        </w:rPr>
        <w:t>30/20, 09/21), Općinsko vijeće Općine Vinica donijelo je</w:t>
      </w:r>
    </w:p>
    <w:p w14:paraId="1223A9B0" w14:textId="77777777" w:rsidR="00252AEC" w:rsidRPr="007F7ECC" w:rsidRDefault="00252AEC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E27515" w14:textId="74D706E0" w:rsidR="00715184" w:rsidRPr="007F7ECC" w:rsidRDefault="00715184" w:rsidP="00840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b/>
          <w:bCs/>
          <w:sz w:val="24"/>
          <w:szCs w:val="24"/>
          <w:lang w:val="hr-HR"/>
        </w:rPr>
        <w:t>O</w:t>
      </w:r>
      <w:r w:rsidR="007E7FFB" w:rsidRPr="007F7ECC">
        <w:rPr>
          <w:rFonts w:ascii="Times New Roman" w:hAnsi="Times New Roman" w:cs="Times New Roman"/>
          <w:b/>
          <w:bCs/>
          <w:sz w:val="24"/>
          <w:szCs w:val="24"/>
          <w:lang w:val="hr-HR"/>
        </w:rPr>
        <w:t>DLUKU</w:t>
      </w:r>
      <w:r w:rsidRPr="007F7ECC"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 xml:space="preserve">o </w:t>
      </w:r>
      <w:r w:rsidR="00162221" w:rsidRPr="007F7ECC">
        <w:rPr>
          <w:rFonts w:ascii="Times New Roman" w:hAnsi="Times New Roman" w:cs="Times New Roman"/>
          <w:b/>
          <w:bCs/>
          <w:sz w:val="24"/>
          <w:szCs w:val="24"/>
          <w:lang w:val="hr-HR"/>
        </w:rPr>
        <w:t>uvođenju Riznice Općine Vinica</w:t>
      </w:r>
      <w:r w:rsidR="00162221" w:rsidRPr="007F7ECC">
        <w:rPr>
          <w:rFonts w:ascii="Times New Roman" w:hAnsi="Times New Roman" w:cs="Times New Roman"/>
          <w:sz w:val="24"/>
          <w:szCs w:val="24"/>
        </w:rPr>
        <w:t xml:space="preserve"> </w:t>
      </w:r>
      <w:r w:rsidR="00162221" w:rsidRPr="007F7ECC">
        <w:rPr>
          <w:rFonts w:ascii="Times New Roman" w:hAnsi="Times New Roman" w:cs="Times New Roman"/>
          <w:b/>
          <w:bCs/>
          <w:sz w:val="24"/>
          <w:szCs w:val="24"/>
          <w:lang w:val="hr-HR"/>
        </w:rPr>
        <w:t>i Objedinjene glavne knjige proračuna</w:t>
      </w:r>
    </w:p>
    <w:p w14:paraId="72C51085" w14:textId="77777777" w:rsidR="008405E8" w:rsidRPr="007F7ECC" w:rsidRDefault="008405E8" w:rsidP="00162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85EBBD2" w14:textId="77777777" w:rsidR="00162221" w:rsidRPr="007F7ECC" w:rsidRDefault="00162221" w:rsidP="00162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F0AC208" w14:textId="6301291D" w:rsidR="00162221" w:rsidRPr="007F7ECC" w:rsidRDefault="00162221" w:rsidP="00162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724838B3" w14:textId="02042656" w:rsidR="00162221" w:rsidRPr="007F7ECC" w:rsidRDefault="00162221" w:rsidP="001622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Ovom se Odlukom uvodi sustav rizničnog poslovanja na razini proračuna Općine Vinica i proračunskog korisnika Dječjeg vrtića Vinica (u daljnjem tekstu: proračunski korisnik) i Objedinjene glavne knjige proračuna, koji se temelji na jedinstvenom računovodstveno-informatičkom sustavu, s ciljem stvaranja pretpostavki za učinkovito upravljanje ukupnim proračunskim sredstvima i obavljanja poslovanja preko jedinstvenog računa Riznice Općine Vinica (u daljnjem tekstu: Riznica). </w:t>
      </w:r>
    </w:p>
    <w:p w14:paraId="33E01FB8" w14:textId="77777777" w:rsidR="00162221" w:rsidRPr="007F7ECC" w:rsidRDefault="00162221" w:rsidP="00162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A1E90BD" w14:textId="11A389EA" w:rsidR="00162221" w:rsidRPr="007F7ECC" w:rsidRDefault="00162221" w:rsidP="00162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</w:t>
      </w:r>
      <w:r w:rsidRPr="007F7EC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EB814F9" w14:textId="4264D643" w:rsidR="00162221" w:rsidRPr="007F7ECC" w:rsidRDefault="00162221" w:rsidP="001622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Proračunski korisnik Općine Vinica je Dječji vrtić Vinica, sa sjedištem u Marčanu, Ulica Josipa Dumbovića </w:t>
      </w:r>
      <w:r w:rsidR="008A086A" w:rsidRPr="007F7ECC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, 42207 Vinica, OIB: </w:t>
      </w:r>
      <w:r w:rsidR="008A086A" w:rsidRPr="007F7ECC">
        <w:rPr>
          <w:rFonts w:ascii="Times New Roman" w:hAnsi="Times New Roman" w:cs="Times New Roman"/>
          <w:sz w:val="24"/>
          <w:szCs w:val="24"/>
          <w:lang w:val="hr-HR"/>
        </w:rPr>
        <w:t>69170324883</w:t>
      </w:r>
      <w:r w:rsidRPr="007F7ECC">
        <w:rPr>
          <w:rFonts w:ascii="Times New Roman" w:hAnsi="Times New Roman" w:cs="Times New Roman"/>
          <w:sz w:val="24"/>
          <w:szCs w:val="24"/>
          <w:lang w:val="hr-HR"/>
        </w:rPr>
        <w:t>, broj registra korisnika proračuna (RKP broj 5</w:t>
      </w:r>
      <w:r w:rsidR="00AD7F14" w:rsidRPr="007F7ECC">
        <w:rPr>
          <w:rFonts w:ascii="Times New Roman" w:hAnsi="Times New Roman" w:cs="Times New Roman"/>
          <w:sz w:val="24"/>
          <w:szCs w:val="24"/>
          <w:lang w:val="hr-HR"/>
        </w:rPr>
        <w:t>1468</w:t>
      </w: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). </w:t>
      </w:r>
    </w:p>
    <w:p w14:paraId="01463ADC" w14:textId="77777777" w:rsidR="00162221" w:rsidRPr="007F7ECC" w:rsidRDefault="00162221" w:rsidP="00162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3078CD6" w14:textId="33B2D239" w:rsidR="00162221" w:rsidRPr="007F7ECC" w:rsidRDefault="00162221" w:rsidP="00162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3.</w:t>
      </w:r>
    </w:p>
    <w:p w14:paraId="66C5FE56" w14:textId="77777777" w:rsidR="00162221" w:rsidRPr="007F7ECC" w:rsidRDefault="00162221" w:rsidP="001622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Riznica je cjelovit sustav u kojem se u skladu sa Zakonom o proračunu, ovom Odlukom i drugim propisima, obavljaju poslovi koji se odnose na pripremu, izvršenje i konsolidaciju Proračuna Općine Vinica i financijskih planova proračunskog korisnika, proračunsko računovodstvo i računovodstvo proračunskog korisnika te upravljanje platnim prometom Proračuna. </w:t>
      </w:r>
    </w:p>
    <w:p w14:paraId="25F0889D" w14:textId="77777777" w:rsidR="00162221" w:rsidRPr="007F7ECC" w:rsidRDefault="00162221" w:rsidP="001622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Jedinstvenom aplikacijom i bazom podataka osigurava se objedinjavanje svih poslova i transakcija u informacijskom i upravljačkom smislu. Glavna knjiga proračuna u sastavu objedinjene glavne knjige proračuna sadrži evidencije transakcija na imovini, obvezama, vlastitim izvorima, prihodima, rashodima, primicima i izdacima proračuna evidentiranih po modificiranom načelu nastanka događaja. </w:t>
      </w:r>
    </w:p>
    <w:p w14:paraId="2AF7F794" w14:textId="77777777" w:rsidR="000926E2" w:rsidRPr="007F7ECC" w:rsidRDefault="00162221" w:rsidP="001622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Glavna knjiga proračunskog korisnika u sastavu Objedinjene glavne knjige proračuna sadrži minimalno evidencije transakcija u vezi rashoda i obveza, izdataka i primitaka, potraživanja iz nadležnog proračuna za uplaćena sredstva na jedinstveni </w:t>
      </w:r>
      <w:r w:rsidRPr="007F7ECC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račun proračuna te prihode proračunskog korisnika za financiranje redovne djelatnosti evidentiranih po modificiranom načelu nastanka događaja. </w:t>
      </w:r>
    </w:p>
    <w:p w14:paraId="3FEB11E1" w14:textId="77777777" w:rsidR="000926E2" w:rsidRPr="007F7ECC" w:rsidRDefault="00162221" w:rsidP="001622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Računovodstveno-informatički sustav Riznice je sustav međusobno povezanih računalnih programa koji prate ukupan proces upravljanja proračunom: pripremu proračuna, izvršenje i konsolidaciju proračuna putem jedinstvenog računovodstvenog sustava koji uključuje vođenje glavne knjige i svih zakonom propisanih pomoćnih knjiga Općine i njezinog proračunskog korisnika uz zadržavanje pravne osobnosti.</w:t>
      </w:r>
    </w:p>
    <w:p w14:paraId="4DF34DF9" w14:textId="77777777" w:rsidR="000926E2" w:rsidRPr="007F7ECC" w:rsidRDefault="00162221" w:rsidP="001622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 Planirani rok uvođenja potpunog sustava Riznice je 1. siječnja 2026. godine. </w:t>
      </w:r>
    </w:p>
    <w:p w14:paraId="35E0E71C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60D432" w14:textId="48B95A81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4.</w:t>
      </w:r>
    </w:p>
    <w:p w14:paraId="548940D8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Poslovanje u Riznici obavljat će se na način da se svi prihodi proračuna i proračunskog korisnika uplaćuju u jedinstveni račun Riznice i sva plaćanja izvršavaju se s tog računa, a račun proračunskog korisnika se zatvara. </w:t>
      </w:r>
    </w:p>
    <w:p w14:paraId="27BBFF23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U proračunu Općine iskazivat će se i evidentirati vlastiti i namjenski prihodi proračunskog korisnika i rashodi proračunskog korisnika koji se financiraju iz tih prihoda. </w:t>
      </w:r>
    </w:p>
    <w:p w14:paraId="5B93D141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Proračunski korisnik biti će integrirani u jedinstveni računovodstveno-informatički sustav Riznice. </w:t>
      </w:r>
    </w:p>
    <w:p w14:paraId="445864F8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Proračunski korisnik formirati će i slati zahtjeve na plaćanje s troškovima koji se financiraju iz svih izvora financiranja. </w:t>
      </w:r>
    </w:p>
    <w:p w14:paraId="6DE05653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Općina Vinica će preuzet verifikaciju zahtjeva i provoditi plaćanja iz svih izvora financiranja za proračunske korisnike, a u prijelaznom razdoblju do trenutka potpunog prelaska na jedinstveni račun Riznice vršiti prijenos sredstava na račun proračunskog korisnika za plaćanje obveza koji se financiraju iz proračunskih sredstava. </w:t>
      </w:r>
    </w:p>
    <w:p w14:paraId="34751D1F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19A2B04" w14:textId="22710D59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5.</w:t>
      </w:r>
    </w:p>
    <w:p w14:paraId="67A941C4" w14:textId="05BAA350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Uspostava sustava Riznice planira se provesti prelaskom proračunskog korisnika Dječji vrtić Vinica u sustav poslovanja putem Riznice. </w:t>
      </w:r>
    </w:p>
    <w:p w14:paraId="20D26664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549D2C8" w14:textId="3C282BEE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6.</w:t>
      </w:r>
    </w:p>
    <w:p w14:paraId="28C6E511" w14:textId="0B9B203E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Uspostava sustava Riznice Općine Vinica provodit će se </w:t>
      </w:r>
      <w:r w:rsidR="00152E5A" w:rsidRPr="007F7ECC">
        <w:rPr>
          <w:rFonts w:ascii="Times New Roman" w:hAnsi="Times New Roman" w:cs="Times New Roman"/>
          <w:sz w:val="24"/>
          <w:szCs w:val="24"/>
          <w:lang w:val="hr-HR"/>
        </w:rPr>
        <w:t>u skladu s dinamikom integracije poslovanja proračunskog korisnika u jedinstveni računovodstveno- informacijski sustav Općine Vinica</w:t>
      </w: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2E4B07C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C7D0FDA" w14:textId="24D5EFB8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7.</w:t>
      </w:r>
    </w:p>
    <w:p w14:paraId="018DE47E" w14:textId="3D4A2C90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Poslovanje u Riznici obavljat će se na način da proračunski korisnik Dječji vrtić Vinica zatvori svoj poslovni račun s 31. prosincem 2025. godine i s 1. siječnjem 2026. godine posluje preko jedinstvenog računa Riznice. </w:t>
      </w:r>
    </w:p>
    <w:p w14:paraId="3D63772A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U proračunu Općine Vinica iskazivat će se i evidentirati vlastiti i namjenski prihodi proračunskog korisnika i rashodi proračunskog korisnika koji se financiraju iz tih prihoda koji uđu u sustav Riznice s 1. siječnjem 2026. godine. </w:t>
      </w:r>
    </w:p>
    <w:p w14:paraId="2FE739C0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U sustavu Riznice vršiti će se konsolidirano planiranje i unos podataka iz vlastitih i namjenskih izvora financiranja proračunskog korisnika za potrebe konsolidiranog izvještaja o izvršenju Proračuna Općine Vinica.</w:t>
      </w:r>
    </w:p>
    <w:p w14:paraId="03D12224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3088977" w14:textId="598E799D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8.</w:t>
      </w:r>
    </w:p>
    <w:p w14:paraId="262794EB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Računovodstveno-informatički sustav Riznice je sustav međusobno povezanih računalnih programa koji prate ukupan proces upravljanja proračunom: pripremu proračuna, izvršenje i konsolidaciju proračuna putem jedinstvenog računovodstvenog sustava koji uključuje vođenje objedinjene glavne knjige i svih zakonom propisanih </w:t>
      </w:r>
      <w:r w:rsidRPr="007F7ECC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pomoćnih knjiga Općine Vinica i njenog proračunskog korisnika uz zadržavanje pravne osobnosti. </w:t>
      </w:r>
    </w:p>
    <w:p w14:paraId="45F93D31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45F8BF" w14:textId="05AD60CA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9.</w:t>
      </w:r>
    </w:p>
    <w:p w14:paraId="6DC5B6AC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Cjelovitost sustava općinske Riznice postiže se korištenjem jedinstvene aplikacije i središnje baze podataka za sve korisnike Riznice. Povezanost dislociranog proračunskog korisnika ostvaruje se primjenom koncepta web aplikacije i interneta kao komunikacijskog medija. </w:t>
      </w:r>
    </w:p>
    <w:p w14:paraId="285846FF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CC82B6" w14:textId="77BF3CF5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10.</w:t>
      </w:r>
    </w:p>
    <w:p w14:paraId="52D4FBA0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Sustav Riznice obuhvaća dva međusobno povezana dijela: </w:t>
      </w:r>
    </w:p>
    <w:p w14:paraId="7B0208AD" w14:textId="583CB9E6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• plan proračuna</w:t>
      </w:r>
    </w:p>
    <w:p w14:paraId="48718D0B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• glavnu knjigu koja sadrži knjigovodstvene i pomoćne evidencije. </w:t>
      </w:r>
    </w:p>
    <w:p w14:paraId="7FC818B2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56958CC" w14:textId="55803F15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11.</w:t>
      </w:r>
    </w:p>
    <w:p w14:paraId="2366EB76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Priprema i planiranje proračuna obuhvaća poslove vezane uz planiranje, izradu i donošenje proračuna, financijskih planova proračunskog korisnika te konsolidiranog proračuna općine, pripremu i uspostavljanje sustava planiranja i praćenja proračuna po programima te izradu smjernica i uputa za izradu proračuna. </w:t>
      </w:r>
    </w:p>
    <w:p w14:paraId="191EC38B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Priprema i planiranje proračuna obveza je svih upravnih tijela i proračunskog korisnika u sustavu Riznice u svim fazama uspostave Riznice. </w:t>
      </w:r>
    </w:p>
    <w:p w14:paraId="5BEFEEFB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Glavna knjiga Riznice vodi se u upravnom tijelu nadležnom za financije.</w:t>
      </w:r>
    </w:p>
    <w:p w14:paraId="1B6B706E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Uspostavom Riznice i jedinstvenog računa Riznice glavna knjiga obuhvaćat će sve transakcije i poslovne događaje, odnosno imovinu i obveze koje se odnose na proračun i na proračunskog korisnika. </w:t>
      </w:r>
    </w:p>
    <w:p w14:paraId="3357D660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Sastavni dio glavne knjige su pomoćne knjige kao dodatni izvor analitičkih podataka potrebnih za efikasno upravljanje financijama i kontrolu izvršenih prihoda i primitaka te rashoda i izdataka. </w:t>
      </w:r>
    </w:p>
    <w:p w14:paraId="52FE03BC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2672CA5" w14:textId="4B286286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12.</w:t>
      </w:r>
    </w:p>
    <w:p w14:paraId="4AEA59F2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Jedinstveni upravni odjel Općine Vinica i Proračunski korisnik čija se financijska izvješća konsolidiraju u financijskim izvješćima Općine Vinica obvezni su svoje poslovanje obavljati putem Riznice. </w:t>
      </w:r>
    </w:p>
    <w:p w14:paraId="0640028B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Proračunski korisnik obvezan je i nadalje voditi svoje poslovne knjige propisane zakonom. </w:t>
      </w:r>
    </w:p>
    <w:p w14:paraId="18707BC5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Za sva poslovanja i transakcije unutar same Riznice koriste se vjerodostojne knjigovodstvene isprave. </w:t>
      </w:r>
    </w:p>
    <w:p w14:paraId="3F1A32BC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1C2B018" w14:textId="64EA4D93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13.</w:t>
      </w:r>
    </w:p>
    <w:p w14:paraId="534CB0C4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Plaćanja unutar Riznice prilikom uspostave Riznice vrše se temeljem zahtjeva za plaćanjem proračunskog korisnika koji se temelji na vjerodostojnoj ispravi. </w:t>
      </w:r>
    </w:p>
    <w:p w14:paraId="12CABF21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Jedinstveni račun Riznice postaje račun koji služi za primanje, čuvanje, plaćanje i prijenos svih prihoda, primitaka, rashoda, izdataka i drugih plaćanja proračuna i proračunskog korisnika. </w:t>
      </w:r>
    </w:p>
    <w:p w14:paraId="0063ACF7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7B710F8" w14:textId="6512C5C3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14.</w:t>
      </w:r>
    </w:p>
    <w:p w14:paraId="6AA0C7E6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Proračunski korisnik Općine sukladno fazama uspostave Riznice, obavezan je zatvoriti svoj žiro račun, a sredstva koja se nalaze na računu obavezan je uplatiti u Proračun Općine Vinica. </w:t>
      </w:r>
    </w:p>
    <w:p w14:paraId="690BB73C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0ED20D" w14:textId="799D277E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lastRenderedPageBreak/>
        <w:t>Članak 15.</w:t>
      </w:r>
    </w:p>
    <w:p w14:paraId="4D24DB84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Uspostavom jedinstvenog računa Riznice taj račun postaje instrument upravljanja likvidnošću općinskog Proračuna putem kojeg se upravlja transakcijama prema mjestu nastanka događaja (glavna knjiga proračuna i proračunskog korisnika) te omogućava provođenje financijske kontrole na razini općinske Riznice. </w:t>
      </w:r>
    </w:p>
    <w:p w14:paraId="78882490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B5FB36C" w14:textId="4172FA1F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Članka 16.</w:t>
      </w:r>
    </w:p>
    <w:p w14:paraId="52A000D4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Transakcije i poslovni događaji u glavnoj knjizi proračunskog korisnika moraju biti usklađeni sa sadržajem i iznosom transakcije i poslovnih događaja sustava glavne knjige Riznice, osim onih koji se vežu za državnu riznicu. </w:t>
      </w:r>
    </w:p>
    <w:p w14:paraId="18859419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3E1CD9" w14:textId="65E5717E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17.</w:t>
      </w:r>
    </w:p>
    <w:p w14:paraId="64586EA8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Zadržavanje vlastitih i namjenskih prihoda proračunskog korisnika sukladno fazama uspostave Riznice, odnosno obveza uplate svih prihoda proračunskog korisnika utvrđuje se Odlukom o izvršenju Proračuna Općine. </w:t>
      </w:r>
    </w:p>
    <w:p w14:paraId="43EB0D23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0091F25" w14:textId="68FCAB5A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18.</w:t>
      </w:r>
    </w:p>
    <w:p w14:paraId="6B70CAEC" w14:textId="77777777" w:rsidR="000926E2" w:rsidRPr="007F7ECC" w:rsidRDefault="00162221" w:rsidP="000926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 xml:space="preserve">U slučaju da uvjeti poslovanja uređeni propisima priječe izvršenje navedenih obveza, Općinsko vijeće može pojedinog proračunskog korisnika na prijedlog načelnika djelomično ili u cijelosti izuzeti iz sustava Riznice. </w:t>
      </w:r>
    </w:p>
    <w:p w14:paraId="7B1127AE" w14:textId="77777777" w:rsidR="000926E2" w:rsidRPr="007F7ECC" w:rsidRDefault="000926E2" w:rsidP="00092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3B2781" w14:textId="2367355D" w:rsidR="000926E2" w:rsidRPr="007F7ECC" w:rsidRDefault="00162221" w:rsidP="00092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Članak 19.</w:t>
      </w:r>
    </w:p>
    <w:p w14:paraId="7CBF1BFC" w14:textId="3C3C7A42" w:rsidR="00D91025" w:rsidRPr="007F7ECC" w:rsidRDefault="0017413F" w:rsidP="001741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7ECC">
        <w:rPr>
          <w:rFonts w:ascii="Times New Roman" w:hAnsi="Times New Roman" w:cs="Times New Roman"/>
          <w:sz w:val="24"/>
          <w:szCs w:val="24"/>
          <w:lang w:val="hr-HR"/>
        </w:rPr>
        <w:t>Ova Odluka stupa na snagu osmoga dana od dana objave u „Službenom vjesniku Varaždinske županije“.</w:t>
      </w:r>
    </w:p>
    <w:p w14:paraId="4905025E" w14:textId="77777777" w:rsidR="0017413F" w:rsidRPr="007F7ECC" w:rsidRDefault="0017413F" w:rsidP="001741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5C7F713" w14:textId="77777777" w:rsidR="00252AEC" w:rsidRPr="007F7ECC" w:rsidRDefault="00252AEC" w:rsidP="00252AE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  <w:bookmarkStart w:id="2" w:name="_Hlk150846888"/>
      <w:bookmarkStart w:id="3" w:name="_Hlk150846113"/>
      <w:bookmarkStart w:id="4" w:name="_Hlk150844224"/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bookmarkStart w:id="5" w:name="_Hlk104535723"/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  <w:t>PREDSJEDNICA</w:t>
      </w:r>
    </w:p>
    <w:p w14:paraId="235E5CE2" w14:textId="77777777" w:rsidR="00252AEC" w:rsidRPr="007F7ECC" w:rsidRDefault="00252AEC" w:rsidP="00252AE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  <w:t>Općinskog vijeća Općine Vinica</w:t>
      </w:r>
    </w:p>
    <w:p w14:paraId="761E20CA" w14:textId="77777777" w:rsidR="00252AEC" w:rsidRPr="007F7ECC" w:rsidRDefault="00252AEC" w:rsidP="00252AE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</w:pP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ab/>
      </w:r>
      <w:bookmarkEnd w:id="2"/>
      <w:bookmarkEnd w:id="3"/>
      <w:bookmarkEnd w:id="4"/>
      <w:bookmarkEnd w:id="5"/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 xml:space="preserve">  Melani </w:t>
      </w:r>
      <w:proofErr w:type="spellStart"/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>Gavrić</w:t>
      </w:r>
      <w:proofErr w:type="spellEnd"/>
      <w:r w:rsidRPr="007F7ECC">
        <w:rPr>
          <w:rFonts w:ascii="Times New Roman" w:eastAsia="Calibri" w:hAnsi="Times New Roman" w:cs="Times New Roman"/>
          <w:bCs/>
          <w:sz w:val="24"/>
          <w:szCs w:val="24"/>
          <w:lang w:val="hr-HR" w:eastAsia="hr-HR"/>
        </w:rPr>
        <w:t>, univ.mag.oec.</w:t>
      </w:r>
    </w:p>
    <w:p w14:paraId="317DA167" w14:textId="77777777" w:rsidR="00F435D7" w:rsidRPr="007F7ECC" w:rsidRDefault="00F435D7" w:rsidP="00840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F435D7" w:rsidRPr="007F7ECC" w:rsidSect="00F435D7">
      <w:head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E0FC" w14:textId="77777777" w:rsidR="001F65CC" w:rsidRDefault="001F65CC" w:rsidP="00732239">
      <w:pPr>
        <w:spacing w:after="0" w:line="240" w:lineRule="auto"/>
      </w:pPr>
      <w:r>
        <w:separator/>
      </w:r>
    </w:p>
  </w:endnote>
  <w:endnote w:type="continuationSeparator" w:id="0">
    <w:p w14:paraId="11CAADCC" w14:textId="77777777" w:rsidR="001F65CC" w:rsidRDefault="001F65CC" w:rsidP="0073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70B4" w14:textId="77777777" w:rsidR="001F65CC" w:rsidRDefault="001F65CC" w:rsidP="00732239">
      <w:pPr>
        <w:spacing w:after="0" w:line="240" w:lineRule="auto"/>
      </w:pPr>
      <w:r>
        <w:separator/>
      </w:r>
    </w:p>
  </w:footnote>
  <w:footnote w:type="continuationSeparator" w:id="0">
    <w:p w14:paraId="52A16A86" w14:textId="77777777" w:rsidR="001F65CC" w:rsidRDefault="001F65CC" w:rsidP="0073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F867" w14:textId="1F150295" w:rsidR="00732239" w:rsidRDefault="00732239" w:rsidP="00732239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F2242C"/>
    <w:multiLevelType w:val="multilevel"/>
    <w:tmpl w:val="CB58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4E2401"/>
    <w:multiLevelType w:val="hybridMultilevel"/>
    <w:tmpl w:val="5D48F7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D02B7"/>
    <w:multiLevelType w:val="multilevel"/>
    <w:tmpl w:val="C88A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7F1D09"/>
    <w:multiLevelType w:val="multilevel"/>
    <w:tmpl w:val="389AC9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903783"/>
    <w:multiLevelType w:val="hybridMultilevel"/>
    <w:tmpl w:val="C65C5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92422">
    <w:abstractNumId w:val="8"/>
  </w:num>
  <w:num w:numId="2" w16cid:durableId="779179528">
    <w:abstractNumId w:val="6"/>
  </w:num>
  <w:num w:numId="3" w16cid:durableId="2104759749">
    <w:abstractNumId w:val="5"/>
  </w:num>
  <w:num w:numId="4" w16cid:durableId="209612805">
    <w:abstractNumId w:val="4"/>
  </w:num>
  <w:num w:numId="5" w16cid:durableId="1133910841">
    <w:abstractNumId w:val="7"/>
  </w:num>
  <w:num w:numId="6" w16cid:durableId="594288517">
    <w:abstractNumId w:val="3"/>
  </w:num>
  <w:num w:numId="7" w16cid:durableId="1017579148">
    <w:abstractNumId w:val="2"/>
  </w:num>
  <w:num w:numId="8" w16cid:durableId="1413238795">
    <w:abstractNumId w:val="1"/>
  </w:num>
  <w:num w:numId="9" w16cid:durableId="2127461952">
    <w:abstractNumId w:val="0"/>
  </w:num>
  <w:num w:numId="10" w16cid:durableId="1764491981">
    <w:abstractNumId w:val="11"/>
  </w:num>
  <w:num w:numId="11" w16cid:durableId="731269261">
    <w:abstractNumId w:val="12"/>
  </w:num>
  <w:num w:numId="12" w16cid:durableId="217129717">
    <w:abstractNumId w:val="9"/>
  </w:num>
  <w:num w:numId="13" w16cid:durableId="248512630">
    <w:abstractNumId w:val="13"/>
  </w:num>
  <w:num w:numId="14" w16cid:durableId="1442845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215"/>
    <w:rsid w:val="00034616"/>
    <w:rsid w:val="0006063C"/>
    <w:rsid w:val="00074840"/>
    <w:rsid w:val="000926E2"/>
    <w:rsid w:val="0015074B"/>
    <w:rsid w:val="00152E5A"/>
    <w:rsid w:val="00162221"/>
    <w:rsid w:val="0017413F"/>
    <w:rsid w:val="001807B5"/>
    <w:rsid w:val="001F65CC"/>
    <w:rsid w:val="00252AEC"/>
    <w:rsid w:val="0029639D"/>
    <w:rsid w:val="002A0177"/>
    <w:rsid w:val="002B6503"/>
    <w:rsid w:val="00326F90"/>
    <w:rsid w:val="003D1C3A"/>
    <w:rsid w:val="003F0824"/>
    <w:rsid w:val="004B368D"/>
    <w:rsid w:val="005935BC"/>
    <w:rsid w:val="005947E8"/>
    <w:rsid w:val="005C257D"/>
    <w:rsid w:val="00715184"/>
    <w:rsid w:val="00732239"/>
    <w:rsid w:val="007422B8"/>
    <w:rsid w:val="007E7FFB"/>
    <w:rsid w:val="007F7ECC"/>
    <w:rsid w:val="008333F5"/>
    <w:rsid w:val="008405E8"/>
    <w:rsid w:val="008A086A"/>
    <w:rsid w:val="009C7442"/>
    <w:rsid w:val="00A9200D"/>
    <w:rsid w:val="00A9408D"/>
    <w:rsid w:val="00AA1D8D"/>
    <w:rsid w:val="00AB4733"/>
    <w:rsid w:val="00AD7F14"/>
    <w:rsid w:val="00AF2AFB"/>
    <w:rsid w:val="00B47730"/>
    <w:rsid w:val="00C776EF"/>
    <w:rsid w:val="00CB0664"/>
    <w:rsid w:val="00D713F9"/>
    <w:rsid w:val="00D91025"/>
    <w:rsid w:val="00E138D8"/>
    <w:rsid w:val="00E17B8D"/>
    <w:rsid w:val="00E739DE"/>
    <w:rsid w:val="00E778C4"/>
    <w:rsid w:val="00EB188E"/>
    <w:rsid w:val="00F435D7"/>
    <w:rsid w:val="00F725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12526"/>
  <w14:defaultImageDpi w14:val="300"/>
  <w15:docId w15:val="{97386F20-7730-403D-8516-8DC269F0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7CB31-E405-4B05-BE19-1C0C21D5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1319</Words>
  <Characters>7522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Opcina Vinica</cp:lastModifiedBy>
  <cp:revision>2</cp:revision>
  <cp:lastPrinted>2025-11-05T13:47:00Z</cp:lastPrinted>
  <dcterms:created xsi:type="dcterms:W3CDTF">2025-11-13T07:37:00Z</dcterms:created>
  <dcterms:modified xsi:type="dcterms:W3CDTF">2025-11-13T07:37:00Z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1d10d082-5a31-4ba0-a31f-519b65c6f0e9</vt:lpwstr>
  </property>
  <property fmtid="{D5CDD505-2E9C-101B-9397-08002B2CF9AE}" pid="3" name="KLASIFIKACIJA">
    <vt:lpwstr>NEKLASIFICIRANO</vt:lpwstr>
  </property>
</Properties>
</file>