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5D" w:rsidRDefault="00AE415D" w:rsidP="00AE415D">
      <w:pPr>
        <w:jc w:val="center"/>
        <w:rPr>
          <w:rFonts w:ascii="Arial" w:hAnsi="Arial" w:cs="Arial"/>
          <w:sz w:val="36"/>
          <w:szCs w:val="36"/>
        </w:rPr>
      </w:pPr>
    </w:p>
    <w:p w:rsidR="00AE415D" w:rsidRDefault="00AE415D" w:rsidP="00F90E4B">
      <w:pPr>
        <w:rPr>
          <w:rFonts w:ascii="Arial" w:hAnsi="Arial" w:cs="Arial"/>
          <w:sz w:val="36"/>
          <w:szCs w:val="36"/>
        </w:rPr>
      </w:pPr>
    </w:p>
    <w:p w:rsidR="00343A3F" w:rsidRPr="00AE415D" w:rsidRDefault="00AE415D" w:rsidP="00AE415D">
      <w:pPr>
        <w:jc w:val="center"/>
        <w:rPr>
          <w:rFonts w:ascii="Arial" w:hAnsi="Arial" w:cs="Arial"/>
          <w:b/>
          <w:sz w:val="28"/>
          <w:szCs w:val="28"/>
        </w:rPr>
      </w:pPr>
      <w:r w:rsidRPr="00AE415D">
        <w:rPr>
          <w:rFonts w:ascii="Arial" w:hAnsi="Arial" w:cs="Arial"/>
          <w:b/>
          <w:sz w:val="28"/>
          <w:szCs w:val="28"/>
        </w:rPr>
        <w:t>REPUBLIKA HRVATSKA</w:t>
      </w:r>
    </w:p>
    <w:p w:rsidR="00AE415D" w:rsidRPr="00AE415D" w:rsidRDefault="00AE415D" w:rsidP="00AE415D">
      <w:pPr>
        <w:jc w:val="center"/>
        <w:rPr>
          <w:rFonts w:ascii="Arial" w:hAnsi="Arial" w:cs="Arial"/>
          <w:b/>
          <w:sz w:val="28"/>
          <w:szCs w:val="28"/>
        </w:rPr>
      </w:pPr>
      <w:r w:rsidRPr="00AE415D">
        <w:rPr>
          <w:rFonts w:ascii="Arial" w:hAnsi="Arial" w:cs="Arial"/>
          <w:b/>
          <w:sz w:val="28"/>
          <w:szCs w:val="28"/>
        </w:rPr>
        <w:t>OPĆINA VINICA</w:t>
      </w:r>
    </w:p>
    <w:p w:rsidR="00AE415D" w:rsidRDefault="00AE415D" w:rsidP="00F90E4B">
      <w:pPr>
        <w:rPr>
          <w:rFonts w:ascii="Arial" w:hAnsi="Arial" w:cs="Arial"/>
          <w:b/>
          <w:sz w:val="36"/>
          <w:szCs w:val="36"/>
        </w:rPr>
      </w:pPr>
    </w:p>
    <w:p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OBRAZLOŽENJE UZ PRORAČUN OPĆINE VINICA ZA</w:t>
      </w:r>
      <w:r w:rsidR="002C03F1">
        <w:rPr>
          <w:rFonts w:ascii="Arial" w:hAnsi="Arial" w:cs="Arial"/>
          <w:b/>
          <w:sz w:val="36"/>
          <w:szCs w:val="36"/>
        </w:rPr>
        <w:t xml:space="preserve"> 2023. GODINU</w:t>
      </w:r>
    </w:p>
    <w:p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:rsidR="00AE415D" w:rsidRDefault="00AE415D" w:rsidP="00AE415D">
      <w:pPr>
        <w:jc w:val="center"/>
        <w:rPr>
          <w:rFonts w:ascii="Arial" w:hAnsi="Arial" w:cs="Arial"/>
          <w:b/>
          <w:sz w:val="36"/>
          <w:szCs w:val="36"/>
        </w:rPr>
      </w:pPr>
    </w:p>
    <w:p w:rsidR="00F90E4B" w:rsidRDefault="00F90E4B" w:rsidP="00AE415D">
      <w:pPr>
        <w:rPr>
          <w:rFonts w:ascii="Arial" w:hAnsi="Arial" w:cs="Arial"/>
          <w:b/>
          <w:sz w:val="36"/>
          <w:szCs w:val="36"/>
        </w:rPr>
      </w:pPr>
    </w:p>
    <w:p w:rsidR="00F90E4B" w:rsidRDefault="00F90E4B" w:rsidP="00AE415D">
      <w:pPr>
        <w:rPr>
          <w:rFonts w:ascii="Arial" w:hAnsi="Arial" w:cs="Arial"/>
          <w:b/>
        </w:rPr>
      </w:pPr>
    </w:p>
    <w:p w:rsidR="00F90E4B" w:rsidRDefault="00F90E4B" w:rsidP="00AE415D">
      <w:pPr>
        <w:rPr>
          <w:rFonts w:ascii="Arial" w:hAnsi="Arial" w:cs="Arial"/>
          <w:b/>
        </w:rPr>
      </w:pPr>
    </w:p>
    <w:p w:rsidR="00F90E4B" w:rsidRDefault="00F90E4B" w:rsidP="00AE415D">
      <w:pPr>
        <w:rPr>
          <w:rFonts w:ascii="Arial" w:hAnsi="Arial" w:cs="Arial"/>
          <w:b/>
        </w:rPr>
      </w:pPr>
    </w:p>
    <w:p w:rsidR="00F90E4B" w:rsidRDefault="00F90E4B" w:rsidP="00AE415D">
      <w:pPr>
        <w:rPr>
          <w:rFonts w:ascii="Arial" w:hAnsi="Arial" w:cs="Arial"/>
          <w:b/>
        </w:rPr>
      </w:pPr>
    </w:p>
    <w:p w:rsidR="00F90E4B" w:rsidRDefault="00F90E4B" w:rsidP="00AE415D">
      <w:pPr>
        <w:rPr>
          <w:rFonts w:ascii="Arial" w:hAnsi="Arial" w:cs="Arial"/>
          <w:b/>
        </w:rPr>
      </w:pPr>
    </w:p>
    <w:p w:rsidR="00F90E4B" w:rsidRDefault="00F90E4B" w:rsidP="00AE415D">
      <w:pPr>
        <w:rPr>
          <w:rFonts w:ascii="Arial" w:hAnsi="Arial" w:cs="Arial"/>
          <w:b/>
        </w:rPr>
      </w:pPr>
    </w:p>
    <w:p w:rsidR="00F90E4B" w:rsidRDefault="00F90E4B" w:rsidP="00AE415D">
      <w:pPr>
        <w:rPr>
          <w:rFonts w:ascii="Arial" w:hAnsi="Arial" w:cs="Arial"/>
          <w:b/>
        </w:rPr>
      </w:pPr>
    </w:p>
    <w:p w:rsidR="00AE415D" w:rsidRDefault="00AE415D" w:rsidP="00AE415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OBRAZLOŽENJE UZ PRORAČUN OPĆINE VINICA ZA RAZDOBLJE   2023. – 2025. GODINE</w:t>
      </w:r>
    </w:p>
    <w:p w:rsidR="002C03F1" w:rsidRDefault="00AE415D" w:rsidP="002C03F1">
      <w:pPr>
        <w:pStyle w:val="Tijeloteksta"/>
        <w:suppressAutoHyphens w:val="0"/>
        <w:autoSpaceDE w:val="0"/>
        <w:autoSpaceDN w:val="0"/>
        <w:spacing w:after="0" w:line="228" w:lineRule="auto"/>
        <w:ind w:right="104" w:firstLine="708"/>
        <w:jc w:val="both"/>
        <w:rPr>
          <w:rFonts w:cs="Times New Roman"/>
          <w:color w:val="000000" w:themeColor="text1"/>
        </w:rPr>
      </w:pPr>
      <w:r w:rsidRPr="00D35906">
        <w:rPr>
          <w:rFonts w:cs="Times New Roman"/>
        </w:rPr>
        <w:t>Temeljem članka 42. Zakona o proračunu (NN 144/21) predstavničko tijelo jedinice lokalne i područne (regionalne )samouprave obvezno je do kraja tekuće godine donijeti proračun za iduću, kao i projekciju proračuna za sljedeće dvije proračunske go</w:t>
      </w:r>
      <w:r w:rsidR="00654A11" w:rsidRPr="00D35906">
        <w:rPr>
          <w:rFonts w:cs="Times New Roman"/>
        </w:rPr>
        <w:t>dine, Metodologija izrade prorač</w:t>
      </w:r>
      <w:r w:rsidRPr="00D35906">
        <w:rPr>
          <w:rFonts w:cs="Times New Roman"/>
        </w:rPr>
        <w:t xml:space="preserve">una propisana  je Zakonom o proračunu (NN </w:t>
      </w:r>
      <w:proofErr w:type="spellStart"/>
      <w:r w:rsidRPr="00D35906">
        <w:rPr>
          <w:rFonts w:cs="Times New Roman"/>
        </w:rPr>
        <w:t>144</w:t>
      </w:r>
      <w:proofErr w:type="spellEnd"/>
      <w:r w:rsidRPr="00D35906">
        <w:rPr>
          <w:rFonts w:cs="Times New Roman"/>
        </w:rPr>
        <w:t xml:space="preserve">/21) i </w:t>
      </w:r>
      <w:proofErr w:type="spellStart"/>
      <w:r w:rsidRPr="00D35906">
        <w:rPr>
          <w:rFonts w:cs="Times New Roman"/>
        </w:rPr>
        <w:t>podzakonskim</w:t>
      </w:r>
      <w:proofErr w:type="spellEnd"/>
      <w:r w:rsidRPr="00D35906">
        <w:rPr>
          <w:rFonts w:cs="Times New Roman"/>
        </w:rPr>
        <w:t xml:space="preserve"> aktima koj</w:t>
      </w:r>
      <w:r w:rsidR="00D55469">
        <w:rPr>
          <w:rFonts w:cs="Times New Roman"/>
        </w:rPr>
        <w:t xml:space="preserve">ima se regulira provedba Zakona: </w:t>
      </w:r>
      <w:r w:rsidR="000D0DFD">
        <w:rPr>
          <w:rFonts w:cs="Times New Roman"/>
        </w:rPr>
        <w:t>Pravilnikom o prora</w:t>
      </w:r>
      <w:r w:rsidRPr="00D35906">
        <w:rPr>
          <w:rFonts w:cs="Times New Roman"/>
        </w:rPr>
        <w:t>čunskim klasifikaci</w:t>
      </w:r>
      <w:r w:rsidR="00D55469">
        <w:rPr>
          <w:rFonts w:cs="Times New Roman"/>
        </w:rPr>
        <w:t>jama (NN 26/10, 120/13 i 1/20) ,</w:t>
      </w:r>
      <w:r w:rsidRPr="00D35906">
        <w:rPr>
          <w:rFonts w:cs="Times New Roman"/>
        </w:rPr>
        <w:t xml:space="preserve"> Pravilnikom </w:t>
      </w:r>
      <w:r w:rsidR="00654A11" w:rsidRPr="00D35906">
        <w:rPr>
          <w:rFonts w:cs="Times New Roman"/>
        </w:rPr>
        <w:t>o proračunskom računovodstvu i R</w:t>
      </w:r>
      <w:r w:rsidRPr="00D35906">
        <w:rPr>
          <w:rFonts w:cs="Times New Roman"/>
        </w:rPr>
        <w:t>ačunskom planu (NN 124/14, 115/15, 87/16, 3/18, 126/19, 108/20).</w:t>
      </w:r>
      <w:r>
        <w:rPr>
          <w:rFonts w:ascii="Arial" w:hAnsi="Arial" w:cs="Arial"/>
        </w:rPr>
        <w:t xml:space="preserve"> </w:t>
      </w:r>
      <w:r w:rsidR="00D35906">
        <w:rPr>
          <w:rFonts w:cs="Times New Roman"/>
          <w:color w:val="000000" w:themeColor="text1"/>
        </w:rPr>
        <w:t>Prijedlog</w:t>
      </w:r>
      <w:r w:rsidR="00D35906" w:rsidRPr="001D4CF5">
        <w:rPr>
          <w:rFonts w:cs="Times New Roman"/>
          <w:color w:val="000000" w:themeColor="text1"/>
        </w:rPr>
        <w:t xml:space="preserve"> Proračuna za razdoblje 2023.-2025. godine je izrađen prema Uputama za izradu proračuna JLP(R)S za razdoblje 2023-2025. godine koje je izradilo Ministarstvo financija zajedno sa Programom konvergencije RH za razdoblje 2023.-2025.godine</w:t>
      </w:r>
      <w:r w:rsidR="00D35906">
        <w:rPr>
          <w:rFonts w:cs="Times New Roman"/>
          <w:color w:val="000000" w:themeColor="text1"/>
        </w:rPr>
        <w:t xml:space="preserve">. </w:t>
      </w:r>
    </w:p>
    <w:p w:rsidR="002C03F1" w:rsidRDefault="00AD72BD" w:rsidP="002C03F1">
      <w:pPr>
        <w:pStyle w:val="Tijeloteksta"/>
        <w:suppressAutoHyphens w:val="0"/>
        <w:autoSpaceDE w:val="0"/>
        <w:autoSpaceDN w:val="0"/>
        <w:spacing w:after="0" w:line="228" w:lineRule="auto"/>
        <w:ind w:right="104" w:firstLine="708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Sukladno novom Zakonu o proračunu, članci 38., 39. i 42. , proračuna jedinice lokalne i područne (regionalne ) samouprave, kao i financijski plan proračunskog korisnika, usvaja se na razini skupine ekonomske kvalifikacije (druga razina računskog plana), isto kao i projekcije za 2024. i 2025. godinu. </w:t>
      </w:r>
    </w:p>
    <w:p w:rsidR="00D55469" w:rsidRPr="00D55469" w:rsidRDefault="00D55469" w:rsidP="002C03F1">
      <w:pPr>
        <w:pStyle w:val="Tijeloteksta"/>
        <w:suppressAutoHyphens w:val="0"/>
        <w:autoSpaceDE w:val="0"/>
        <w:autoSpaceDN w:val="0"/>
        <w:spacing w:after="0" w:line="228" w:lineRule="auto"/>
        <w:ind w:right="104" w:firstLine="708"/>
        <w:jc w:val="both"/>
        <w:rPr>
          <w:rFonts w:cs="Times New Roman"/>
        </w:rPr>
      </w:pPr>
      <w:r w:rsidRPr="001D4CF5">
        <w:rPr>
          <w:rFonts w:cs="Times New Roman"/>
          <w:color w:val="000000" w:themeColor="text1"/>
        </w:rPr>
        <w:t>Na izradu Proračun</w:t>
      </w:r>
      <w:r>
        <w:rPr>
          <w:rFonts w:cs="Times New Roman"/>
          <w:color w:val="000000" w:themeColor="text1"/>
        </w:rPr>
        <w:t>a Općine Vinica</w:t>
      </w:r>
      <w:r w:rsidRPr="001D4CF5">
        <w:rPr>
          <w:rFonts w:cs="Times New Roman"/>
          <w:color w:val="000000" w:themeColor="text1"/>
        </w:rPr>
        <w:t xml:space="preserve"> za razdoblje 2023.-2025. godine se primjenjuje i Zakon o uvođenju eura kao službene valute RH (57/22 i 88/22) temeljem kojeg se </w:t>
      </w:r>
      <w:r w:rsidRPr="00D55469">
        <w:rPr>
          <w:rFonts w:cs="Times New Roman"/>
          <w:color w:val="000000" w:themeColor="text1"/>
        </w:rPr>
        <w:t>proračun za razdoblje 2023-2025. god. donosi u valuti euro.</w:t>
      </w:r>
    </w:p>
    <w:p w:rsidR="002C03F1" w:rsidRDefault="002C03F1" w:rsidP="00A035AD">
      <w:pPr>
        <w:ind w:firstLine="708"/>
        <w:jc w:val="both"/>
        <w:rPr>
          <w:rFonts w:ascii="Times New Roman" w:hAnsi="Times New Roman" w:cs="Times New Roman"/>
        </w:rPr>
      </w:pPr>
      <w:r w:rsidRPr="002C03F1">
        <w:rPr>
          <w:rFonts w:ascii="Times New Roman" w:hAnsi="Times New Roman" w:cs="Times New Roman"/>
        </w:rPr>
        <w:t xml:space="preserve">Proračun se donosi i izvršava  skladu s proračunskim načelima propisanim članci 6.do 15.Zakona. </w:t>
      </w:r>
      <w:r w:rsidR="000D0DFD">
        <w:rPr>
          <w:rFonts w:ascii="Times New Roman" w:hAnsi="Times New Roman" w:cs="Times New Roman"/>
        </w:rPr>
        <w:t>, a suklad</w:t>
      </w:r>
      <w:r w:rsidR="00A035AD">
        <w:rPr>
          <w:rFonts w:ascii="Times New Roman" w:hAnsi="Times New Roman" w:cs="Times New Roman"/>
        </w:rPr>
        <w:t>no čl. 28. sastoji se od plana za proračunsku godinu i projekcija za sljedeće dvije godine, te sadrži financijske planove proračunskih korisnika prikazane kroz opći i posebni dio i obrazloženje proračuna.</w:t>
      </w:r>
    </w:p>
    <w:p w:rsidR="00A035AD" w:rsidRDefault="00A035AD" w:rsidP="00A035AD">
      <w:pPr>
        <w:jc w:val="both"/>
        <w:rPr>
          <w:rFonts w:ascii="Times New Roman" w:hAnsi="Times New Roman" w:cs="Times New Roman"/>
          <w:b/>
        </w:rPr>
      </w:pPr>
      <w:r w:rsidRPr="00A035AD">
        <w:rPr>
          <w:rFonts w:ascii="Times New Roman" w:hAnsi="Times New Roman" w:cs="Times New Roman"/>
          <w:b/>
        </w:rPr>
        <w:t>I. OPĆI DIO</w:t>
      </w:r>
    </w:p>
    <w:p w:rsidR="00A035AD" w:rsidRDefault="00A035AD" w:rsidP="00A035A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A. RAČUN I PRIHODA I RASHODA</w:t>
      </w:r>
    </w:p>
    <w:p w:rsidR="00A035AD" w:rsidRDefault="00A035AD" w:rsidP="00A035AD">
      <w:pPr>
        <w:jc w:val="both"/>
        <w:rPr>
          <w:rFonts w:ascii="Times New Roman" w:hAnsi="Times New Roman" w:cs="Times New Roman"/>
        </w:rPr>
      </w:pPr>
      <w:r w:rsidRPr="00A035AD">
        <w:rPr>
          <w:rFonts w:ascii="Times New Roman" w:hAnsi="Times New Roman" w:cs="Times New Roman"/>
        </w:rPr>
        <w:t>Konsolidirani</w:t>
      </w:r>
      <w:r>
        <w:rPr>
          <w:rFonts w:ascii="Times New Roman" w:hAnsi="Times New Roman" w:cs="Times New Roman"/>
        </w:rPr>
        <w:t xml:space="preserve"> proračun Općine Vinica za 2023. godinu sastoji se od prihoda i rashoda Općine Vinica i proračunskog korisnika Dječjeg vrtića Vinica.</w:t>
      </w:r>
      <w:r w:rsidR="00AA1B0F">
        <w:rPr>
          <w:rFonts w:ascii="Times New Roman" w:hAnsi="Times New Roman" w:cs="Times New Roman"/>
        </w:rPr>
        <w:t xml:space="preserve"> Ukup</w:t>
      </w:r>
      <w:r w:rsidR="000D0DFD">
        <w:rPr>
          <w:rFonts w:ascii="Times New Roman" w:hAnsi="Times New Roman" w:cs="Times New Roman"/>
        </w:rPr>
        <w:t>ni prihodi iznose 2.540.944,00</w:t>
      </w:r>
      <w:r w:rsidR="00AA1B0F">
        <w:rPr>
          <w:rFonts w:ascii="Times New Roman" w:hAnsi="Times New Roman" w:cs="Times New Roman"/>
        </w:rPr>
        <w:t xml:space="preserve"> €, </w:t>
      </w:r>
      <w:r w:rsidR="000D0DFD">
        <w:rPr>
          <w:rFonts w:ascii="Times New Roman" w:hAnsi="Times New Roman" w:cs="Times New Roman"/>
        </w:rPr>
        <w:t>a ukupni rashodi 3.065.200,00</w:t>
      </w:r>
      <w:r w:rsidR="00836528">
        <w:rPr>
          <w:rFonts w:ascii="Times New Roman" w:hAnsi="Times New Roman" w:cs="Times New Roman"/>
        </w:rPr>
        <w:t xml:space="preserve"> </w:t>
      </w:r>
      <w:r w:rsidR="00417EC6">
        <w:rPr>
          <w:rFonts w:ascii="Times New Roman" w:hAnsi="Times New Roman" w:cs="Times New Roman"/>
        </w:rPr>
        <w:t xml:space="preserve"> €, preneseni višak prihoda iz prethodnih godina</w:t>
      </w:r>
      <w:r w:rsidR="00C07B52">
        <w:rPr>
          <w:rFonts w:ascii="Times New Roman" w:hAnsi="Times New Roman" w:cs="Times New Roman"/>
        </w:rPr>
        <w:t xml:space="preserve"> </w:t>
      </w:r>
      <w:r w:rsidR="00836528">
        <w:rPr>
          <w:rFonts w:ascii="Times New Roman" w:hAnsi="Times New Roman" w:cs="Times New Roman"/>
        </w:rPr>
        <w:t>koji se koristi za pokriće rashoda</w:t>
      </w:r>
      <w:r w:rsidR="00417EC6">
        <w:rPr>
          <w:rFonts w:ascii="Times New Roman" w:hAnsi="Times New Roman" w:cs="Times New Roman"/>
        </w:rPr>
        <w:t xml:space="preserve"> iznosi  524.256,0</w:t>
      </w:r>
      <w:r w:rsidR="00836528">
        <w:rPr>
          <w:rFonts w:ascii="Times New Roman" w:hAnsi="Times New Roman" w:cs="Times New Roman"/>
        </w:rPr>
        <w:t>0</w:t>
      </w:r>
      <w:r w:rsidR="00417EC6">
        <w:rPr>
          <w:rFonts w:ascii="Times New Roman" w:hAnsi="Times New Roman" w:cs="Times New Roman"/>
        </w:rPr>
        <w:t xml:space="preserve"> €.</w:t>
      </w:r>
    </w:p>
    <w:p w:rsidR="00417EC6" w:rsidRDefault="00417EC6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ukupno planiranih prihoda u 2023. godini, Općina Vinica planira ostvariti </w:t>
      </w:r>
      <w:r w:rsidR="000D0DFD">
        <w:rPr>
          <w:rFonts w:ascii="Times New Roman" w:hAnsi="Times New Roman" w:cs="Times New Roman"/>
        </w:rPr>
        <w:t>prihode u iznosu od 2.233.584,00</w:t>
      </w:r>
      <w:r w:rsidR="00836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€, a proračunski korisnik 307.360,00 € u čemu su sadržani i prihodi od Općine Vinica.</w:t>
      </w:r>
    </w:p>
    <w:p w:rsidR="00417EC6" w:rsidRDefault="00417EC6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 ukupno </w:t>
      </w:r>
      <w:r w:rsidR="00836528">
        <w:rPr>
          <w:rFonts w:ascii="Times New Roman" w:hAnsi="Times New Roman" w:cs="Times New Roman"/>
        </w:rPr>
        <w:t>planiranih rashoda</w:t>
      </w:r>
      <w:r>
        <w:rPr>
          <w:rFonts w:ascii="Times New Roman" w:hAnsi="Times New Roman" w:cs="Times New Roman"/>
        </w:rPr>
        <w:t xml:space="preserve"> na proračunskog korisnika</w:t>
      </w:r>
      <w:r w:rsidR="00836528">
        <w:rPr>
          <w:rFonts w:ascii="Times New Roman" w:hAnsi="Times New Roman" w:cs="Times New Roman"/>
        </w:rPr>
        <w:t xml:space="preserve"> se odnosi 307.360,00 €</w:t>
      </w:r>
      <w:r>
        <w:rPr>
          <w:rFonts w:ascii="Times New Roman" w:hAnsi="Times New Roman" w:cs="Times New Roman"/>
        </w:rPr>
        <w:t>.</w:t>
      </w:r>
    </w:p>
    <w:p w:rsidR="00417EC6" w:rsidRDefault="00417EC6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Struktura prihoda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678"/>
        <w:gridCol w:w="1501"/>
        <w:gridCol w:w="1334"/>
      </w:tblGrid>
      <w:tr w:rsidR="006F2B1F" w:rsidRPr="006F2B1F" w:rsidTr="001E4F3C">
        <w:trPr>
          <w:trHeight w:val="24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6F2B1F" w:rsidRPr="006F2B1F" w:rsidRDefault="006F2B1F" w:rsidP="0061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F2B1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2.522.363,00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F2B1F" w:rsidRPr="006F2B1F" w:rsidRDefault="007B7F4F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99,27</w:t>
            </w:r>
            <w:r w:rsidR="001E4F3C" w:rsidRPr="001E4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F2B1F" w:rsidRPr="006F2B1F" w:rsidRDefault="000D0DFD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960.028</w:t>
            </w:r>
            <w:proofErr w:type="spellEnd"/>
            <w:r w:rsidR="006F2B1F" w:rsidRPr="006F2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B1F" w:rsidRPr="006F2B1F" w:rsidRDefault="007B7F4F" w:rsidP="008365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37,78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iz inozemstva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F2B1F" w:rsidRPr="006F2B1F" w:rsidRDefault="006F2B1F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1.108.653,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B1F" w:rsidRPr="006F2B1F" w:rsidRDefault="007B7F4F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,63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F2B1F" w:rsidRPr="006F2B1F" w:rsidRDefault="006F2B1F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51.257,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B1F" w:rsidRPr="006F2B1F" w:rsidRDefault="007B7F4F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2,02</w:t>
            </w:r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:rsidTr="001E4F3C">
        <w:trPr>
          <w:trHeight w:val="398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upravnih i administrativnih pristojbi, pristojbi po posebnim propisima i</w:t>
            </w: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  <w:t>naknada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F2B1F" w:rsidRPr="006F2B1F" w:rsidRDefault="006F2B1F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204.7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B1F" w:rsidRPr="006F2B1F" w:rsidRDefault="007B7F4F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06</w:t>
            </w:r>
            <w:proofErr w:type="spellEnd"/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F2B1F" w:rsidRPr="006F2B1F" w:rsidRDefault="006F2B1F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12.60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B1F" w:rsidRPr="006F2B1F" w:rsidRDefault="001E4F3C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0,50 %</w:t>
            </w:r>
          </w:p>
        </w:tc>
      </w:tr>
      <w:tr w:rsidR="006F2B1F" w:rsidRPr="006F2B1F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iz proračuna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F2B1F" w:rsidRPr="006F2B1F" w:rsidRDefault="006F2B1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183.700,00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B1F" w:rsidRPr="006F2B1F" w:rsidRDefault="007B7F4F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</w:t>
            </w:r>
            <w:proofErr w:type="spellEnd"/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Kazne, upravne mjere i ostali prihodi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F2B1F" w:rsidRPr="006F2B1F" w:rsidRDefault="006F2B1F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1.327,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B1F" w:rsidRPr="006F2B1F" w:rsidRDefault="001E4F3C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0,05 %</w:t>
            </w:r>
          </w:p>
        </w:tc>
      </w:tr>
      <w:tr w:rsidR="006F2B1F" w:rsidRPr="006F2B1F" w:rsidTr="001E4F3C">
        <w:trPr>
          <w:trHeight w:val="24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Prihodi od prodaje nefinancijske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6F2B1F" w:rsidRPr="006F2B1F" w:rsidRDefault="006F2B1F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18.581,</w:t>
            </w:r>
            <w:r w:rsidR="002703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6F2B1F" w:rsidRPr="006F2B1F" w:rsidRDefault="007B7F4F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0,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73</w:t>
            </w:r>
            <w:proofErr w:type="spellEnd"/>
            <w:r w:rsidR="001E4F3C" w:rsidRPr="001E4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6F2B1F" w:rsidTr="001E4F3C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prodaje proizvedene dugotrajne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6F2B1F" w:rsidRPr="006F2B1F" w:rsidRDefault="006F2B1F" w:rsidP="002703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18.581,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2B1F" w:rsidRPr="006F2B1F" w:rsidRDefault="007B7F4F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</w:t>
            </w:r>
            <w:proofErr w:type="spellEnd"/>
            <w:r w:rsidR="001E4F3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6F2B1F" w:rsidRPr="001E4F3C" w:rsidTr="001E4F3C">
        <w:trPr>
          <w:trHeight w:val="27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F2B1F" w:rsidRPr="006F2B1F" w:rsidRDefault="006F2B1F" w:rsidP="006F2B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6F2B1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6F2B1F" w:rsidRPr="006F2B1F" w:rsidRDefault="007B7F4F" w:rsidP="00D33B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2.540.944,00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F2B1F" w:rsidRPr="006F2B1F" w:rsidRDefault="001E4F3C" w:rsidP="001E4F3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1E4F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100,00 %</w:t>
            </w:r>
          </w:p>
        </w:tc>
      </w:tr>
    </w:tbl>
    <w:p w:rsidR="00954770" w:rsidRDefault="00954770" w:rsidP="00A035AD">
      <w:pPr>
        <w:jc w:val="both"/>
        <w:rPr>
          <w:rFonts w:ascii="Times New Roman" w:hAnsi="Times New Roman" w:cs="Times New Roman"/>
        </w:rPr>
      </w:pPr>
    </w:p>
    <w:p w:rsidR="001E4F3C" w:rsidRDefault="001E4F3C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lastRenderedPageBreak/>
        <w:t>-</w:t>
      </w:r>
      <w:r w:rsidRPr="001E4F3C">
        <w:rPr>
          <w:rFonts w:ascii="Times New Roman" w:hAnsi="Times New Roman" w:cs="Times New Roman"/>
          <w:i/>
        </w:rPr>
        <w:t>Prihodi od poreza</w:t>
      </w:r>
      <w:r>
        <w:rPr>
          <w:rFonts w:ascii="Times New Roman" w:hAnsi="Times New Roman" w:cs="Times New Roman"/>
        </w:rPr>
        <w:t xml:space="preserve"> obuhvaćaju prihode od poreza i prireza na dohodak, poreza na imovinu i poreza robu i usluge, a najveće učešće u prihodima od poreza imaju prihodi od poreza i prireza na dohodak.</w:t>
      </w:r>
    </w:p>
    <w:p w:rsidR="001E4F3C" w:rsidRDefault="001E4F3C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1E4F3C">
        <w:rPr>
          <w:rFonts w:ascii="Times New Roman" w:hAnsi="Times New Roman" w:cs="Times New Roman"/>
          <w:i/>
        </w:rPr>
        <w:t>Prihodi od pomoći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ostvaruju se iz državnog proračuna, Varaždinske županije, proračuna drugih općina, Hrvatskih voda,  EU fondova.</w:t>
      </w:r>
    </w:p>
    <w:p w:rsidR="005F717A" w:rsidRDefault="005F717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717A">
        <w:rPr>
          <w:rFonts w:ascii="Times New Roman" w:hAnsi="Times New Roman" w:cs="Times New Roman"/>
          <w:i/>
        </w:rPr>
        <w:t>Prihodi od imovine</w:t>
      </w:r>
      <w:r>
        <w:rPr>
          <w:rFonts w:ascii="Times New Roman" w:hAnsi="Times New Roman" w:cs="Times New Roman"/>
        </w:rPr>
        <w:t xml:space="preserve"> obuhvaćaju prihode od financijske imovine i  nefinancijske imovine koja se odnosi na naknade za koncesije, prihode od zakupa i iznajmljivanja imovine.</w:t>
      </w:r>
    </w:p>
    <w:p w:rsidR="00773E6A" w:rsidRPr="005F717A" w:rsidRDefault="005F717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F717A">
        <w:rPr>
          <w:rFonts w:ascii="Times New Roman" w:hAnsi="Times New Roman" w:cs="Times New Roman"/>
          <w:i/>
        </w:rPr>
        <w:t>Prihodi od upravnih i administrativnih pristojbi, pristojbi po posebnim propisima i naknada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>odnose se</w:t>
      </w:r>
      <w:r w:rsidR="00773E6A">
        <w:rPr>
          <w:rFonts w:ascii="Times New Roman" w:hAnsi="Times New Roman" w:cs="Times New Roman"/>
        </w:rPr>
        <w:t xml:space="preserve"> na vlastite prihode </w:t>
      </w:r>
      <w:r>
        <w:rPr>
          <w:rFonts w:ascii="Times New Roman" w:hAnsi="Times New Roman" w:cs="Times New Roman"/>
        </w:rPr>
        <w:t xml:space="preserve"> proračunskog</w:t>
      </w:r>
      <w:r w:rsidR="00773E6A">
        <w:rPr>
          <w:rFonts w:ascii="Times New Roman" w:hAnsi="Times New Roman" w:cs="Times New Roman"/>
        </w:rPr>
        <w:t xml:space="preserve"> korisnika, komunalne naknade, doprinosi za šume, povrate u proračun.</w:t>
      </w:r>
    </w:p>
    <w:p w:rsidR="00773E6A" w:rsidRDefault="00773E6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Ostali prihodi  odnose se na prihode od isporuke el. energije, kazne i dr. i predstavljaju vrlo mali udio u strukturi prihoda.</w:t>
      </w:r>
    </w:p>
    <w:p w:rsidR="0096706D" w:rsidRPr="007B7F4F" w:rsidRDefault="003825EF" w:rsidP="0096706D">
      <w:pPr>
        <w:jc w:val="both"/>
        <w:rPr>
          <w:rFonts w:ascii="Times New Roman" w:hAnsi="Times New Roman" w:cs="Times New Roman"/>
        </w:rPr>
      </w:pPr>
      <w:r w:rsidRPr="00CF63AF">
        <w:rPr>
          <w:rFonts w:ascii="Times New Roman" w:hAnsi="Times New Roman" w:cs="Times New Roman"/>
        </w:rPr>
        <w:t xml:space="preserve">Plan proračuna za </w:t>
      </w:r>
      <w:r w:rsidR="007B7F4F">
        <w:rPr>
          <w:rFonts w:ascii="Times New Roman" w:hAnsi="Times New Roman" w:cs="Times New Roman"/>
        </w:rPr>
        <w:t>2023. godinu iznosi 3.065.200,00</w:t>
      </w:r>
      <w:r w:rsidRPr="00CF63AF">
        <w:rPr>
          <w:rFonts w:ascii="Times New Roman" w:hAnsi="Times New Roman" w:cs="Times New Roman"/>
        </w:rPr>
        <w:t xml:space="preserve"> €, za 2024. godinu </w:t>
      </w:r>
      <w:r w:rsidR="00CF63AF" w:rsidRPr="00CF63AF">
        <w:rPr>
          <w:rFonts w:ascii="Times New Roman" w:hAnsi="Times New Roman" w:cs="Times New Roman"/>
        </w:rPr>
        <w:t xml:space="preserve"> 3.200.150,00 € i za 2025. godinu 3.387.840,00 €</w:t>
      </w:r>
      <w:r w:rsidRPr="00CF63AF">
        <w:rPr>
          <w:rFonts w:ascii="Times New Roman" w:hAnsi="Times New Roman" w:cs="Times New Roman"/>
        </w:rPr>
        <w:t>.</w:t>
      </w:r>
      <w:r w:rsidR="0096706D" w:rsidRPr="00CF63AF">
        <w:t xml:space="preserve"> </w:t>
      </w:r>
      <w:r w:rsidR="0096706D" w:rsidRPr="007B7F4F">
        <w:rPr>
          <w:rFonts w:ascii="Times New Roman" w:hAnsi="Times New Roman" w:cs="Times New Roman"/>
        </w:rPr>
        <w:t>Na iznose projekcija najveći utjecaj imaju višegodišnji kapitalni projekti i dinamika njihovog izvršenja.</w:t>
      </w:r>
    </w:p>
    <w:p w:rsidR="003825EF" w:rsidRPr="003825EF" w:rsidRDefault="003825EF" w:rsidP="00A035AD">
      <w:pPr>
        <w:jc w:val="both"/>
        <w:rPr>
          <w:rFonts w:ascii="Times New Roman" w:hAnsi="Times New Roman" w:cs="Times New Roman"/>
          <w:color w:val="FF0000"/>
        </w:rPr>
      </w:pPr>
    </w:p>
    <w:p w:rsidR="003825EF" w:rsidRDefault="003825EF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planovi prate razvojne programe za trogodišnje razdoblje prema aktivnostima i projektima sa točno definiranim strateškim ciljevima, poduzetim mjerama utvrđenim u programima , te na kraju i iskazanom rezultatu za pojedine aktivnosti i programe u trogodišnjim razdobljima.</w:t>
      </w:r>
    </w:p>
    <w:p w:rsidR="002B68FF" w:rsidRDefault="002B68FF" w:rsidP="00A035AD">
      <w:pPr>
        <w:jc w:val="both"/>
        <w:rPr>
          <w:rFonts w:ascii="Times New Roman" w:hAnsi="Times New Roman" w:cs="Times New Roman"/>
        </w:rPr>
      </w:pPr>
    </w:p>
    <w:p w:rsidR="00773E6A" w:rsidRDefault="00773E6A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Struktura rashoda </w:t>
      </w:r>
    </w:p>
    <w:p w:rsidR="002B68FF" w:rsidRDefault="002B68FF" w:rsidP="002B68FF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  <w:r>
        <w:rPr>
          <w:rFonts w:ascii="Arial" w:eastAsiaTheme="minorEastAsia" w:hAnsi="Arial" w:cs="Arial"/>
          <w:b/>
          <w:bCs/>
          <w:sz w:val="18"/>
          <w:szCs w:val="18"/>
          <w:lang w:eastAsia="hr-HR"/>
        </w:rPr>
        <w:t xml:space="preserve">                            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678"/>
        <w:gridCol w:w="1501"/>
        <w:gridCol w:w="1334"/>
      </w:tblGrid>
      <w:tr w:rsidR="002B68FF" w:rsidRPr="006F2B1F" w:rsidTr="002B68FF">
        <w:trPr>
          <w:trHeight w:val="24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:rsidR="002B68FF" w:rsidRPr="006F2B1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</w:t>
            </w:r>
            <w:r w:rsidRPr="006F2B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poslovanja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2.022.246,00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65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,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97</w:t>
            </w:r>
            <w:proofErr w:type="spellEnd"/>
            <w:r w:rsidR="003825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8FF" w:rsidRPr="006F2B1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B68FF" w:rsidRPr="006F2B1F" w:rsidRDefault="00836528" w:rsidP="0083652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441.303,00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14,40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8FF" w:rsidRPr="006F2B1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882.391</w:t>
            </w:r>
            <w:proofErr w:type="spellEnd"/>
            <w:r w:rsidR="005A4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8FF" w:rsidRPr="006F2B1F" w:rsidRDefault="007B7F4F" w:rsidP="007B7F4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28,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</w:t>
            </w:r>
            <w:proofErr w:type="spellEnd"/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8FF" w:rsidRPr="006F2B1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B68FF" w:rsidRPr="006F2B1F" w:rsidRDefault="005A4E4A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7.496,00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0,24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186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8FF" w:rsidRPr="006F2B1F" w:rsidRDefault="002B68FF" w:rsidP="002B68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B68FF" w:rsidRPr="006F2B1F" w:rsidRDefault="005A4E4A" w:rsidP="005A4E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47.580,00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1,55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8FF" w:rsidRPr="006F2B1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B68FF" w:rsidRPr="006F2B1F" w:rsidRDefault="005A4E4A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268.154,00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8,75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8FF" w:rsidRPr="006F2B1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dr. naknade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B68FF" w:rsidRPr="006F2B1F" w:rsidRDefault="005A4E4A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119.582,00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</w:t>
            </w:r>
            <w:proofErr w:type="spellEnd"/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8FF" w:rsidRPr="006F2B1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B68FF" w:rsidRPr="006F2B1F" w:rsidRDefault="005A4E4A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255.740,00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8,34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24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2B68FF" w:rsidRPr="006F2B1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2B68FF" w:rsidRPr="006F2B1F" w:rsidRDefault="005A4E4A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1.042.954,00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</w:tcPr>
          <w:p w:rsidR="002B68FF" w:rsidRPr="006F2B1F" w:rsidRDefault="00ED3652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34,03</w:t>
            </w:r>
            <w:r w:rsidR="003825E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68FF" w:rsidRPr="006F2B1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B68FF" w:rsidRPr="006F2B1F" w:rsidRDefault="005A4E4A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276.064,00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9,01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613A33">
        <w:trPr>
          <w:trHeight w:val="225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B68FF" w:rsidRDefault="002B68FF" w:rsidP="00613A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2B68FF" w:rsidRPr="006F2B1F" w:rsidRDefault="005A4E4A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766.890,00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68F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25,02</w:t>
            </w:r>
            <w:r w:rsidR="003825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%</w:t>
            </w:r>
          </w:p>
        </w:tc>
      </w:tr>
      <w:tr w:rsidR="002B68FF" w:rsidRPr="006F2B1F" w:rsidTr="002B68FF">
        <w:trPr>
          <w:trHeight w:val="270"/>
        </w:trPr>
        <w:tc>
          <w:tcPr>
            <w:tcW w:w="66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B68FF" w:rsidRPr="006F2B1F" w:rsidRDefault="003825EF" w:rsidP="00613A3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68FF" w:rsidRPr="006F2B1F" w:rsidRDefault="007B7F4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3.065.200</w:t>
            </w:r>
            <w:r w:rsidR="005A4E4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,00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</w:tcPr>
          <w:p w:rsidR="002B68FF" w:rsidRPr="006F2B1F" w:rsidRDefault="003825EF" w:rsidP="00613A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100,00 %</w:t>
            </w:r>
          </w:p>
        </w:tc>
      </w:tr>
    </w:tbl>
    <w:p w:rsidR="002B68FF" w:rsidRDefault="002B68FF" w:rsidP="002B68FF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</w:p>
    <w:p w:rsidR="002B68FF" w:rsidRDefault="002B68FF" w:rsidP="002B68FF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</w:p>
    <w:p w:rsidR="002B68FF" w:rsidRDefault="002B68FF" w:rsidP="002B68FF">
      <w:pPr>
        <w:widowControl w:val="0"/>
        <w:tabs>
          <w:tab w:val="left" w:pos="30"/>
          <w:tab w:val="left" w:pos="1695"/>
          <w:tab w:val="right" w:pos="10170"/>
        </w:tabs>
        <w:autoSpaceDE w:val="0"/>
        <w:autoSpaceDN w:val="0"/>
        <w:adjustRightInd w:val="0"/>
        <w:spacing w:after="0" w:line="239" w:lineRule="exact"/>
        <w:rPr>
          <w:rFonts w:ascii="Arial" w:eastAsiaTheme="minorEastAsia" w:hAnsi="Arial" w:cs="Arial"/>
          <w:b/>
          <w:bCs/>
          <w:sz w:val="18"/>
          <w:szCs w:val="18"/>
          <w:lang w:eastAsia="hr-HR"/>
        </w:rPr>
      </w:pPr>
    </w:p>
    <w:p w:rsidR="002B68FF" w:rsidRDefault="003825EF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Kod rashoda za plaće obuhvaćene su </w:t>
      </w:r>
      <w:r w:rsidR="00610108">
        <w:rPr>
          <w:rFonts w:ascii="Times New Roman" w:eastAsiaTheme="minorEastAsia" w:hAnsi="Times New Roman" w:cs="Times New Roman"/>
          <w:sz w:val="24"/>
          <w:szCs w:val="24"/>
          <w:lang w:eastAsia="hr-HR"/>
        </w:rPr>
        <w:t>plaće djelatnika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Jedinstvenom upravnom odjelu</w:t>
      </w:r>
      <w:r w:rsidR="00610108">
        <w:rPr>
          <w:rFonts w:ascii="Times New Roman" w:eastAsiaTheme="minorEastAsia" w:hAnsi="Times New Roman" w:cs="Times New Roman"/>
          <w:sz w:val="24"/>
          <w:szCs w:val="24"/>
          <w:lang w:eastAsia="hr-HR"/>
        </w:rPr>
        <w:t>, plaće zaposlenih u sklopu projekta Zaželi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plaće za zaposlene u dječjem vrtiću.</w:t>
      </w:r>
      <w:r w:rsidR="0061010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Udio plaća zaposlenika proračunskog korisnika DV Vinica u ukupnim rashodima vrtića  iznosi 63,</w:t>
      </w:r>
      <w:proofErr w:type="spellStart"/>
      <w:r w:rsidR="00610108">
        <w:rPr>
          <w:rFonts w:ascii="Times New Roman" w:eastAsiaTheme="minorEastAsia" w:hAnsi="Times New Roman" w:cs="Times New Roman"/>
          <w:sz w:val="24"/>
          <w:szCs w:val="24"/>
          <w:lang w:eastAsia="hr-HR"/>
        </w:rPr>
        <w:t>06</w:t>
      </w:r>
      <w:proofErr w:type="spellEnd"/>
      <w:r w:rsidR="0061010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%, 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 u ukupnim planiranim rashodima za plaće na proračunskog korisnika se odnosi 54%, </w:t>
      </w:r>
      <w:r w:rsidR="0061010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dok 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se </w:t>
      </w:r>
      <w:proofErr w:type="spellStart"/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>46</w:t>
      </w:r>
      <w:proofErr w:type="spellEnd"/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>%  rashoda</w:t>
      </w:r>
      <w:r w:rsidR="0061010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odnosu na ukupne rashode za plaće 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odnosi na plaće </w:t>
      </w:r>
      <w:r w:rsidR="00610108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djelatnika </w:t>
      </w:r>
      <w:proofErr w:type="spellStart"/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>JUO</w:t>
      </w:r>
      <w:proofErr w:type="spellEnd"/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Općine Vinica.</w:t>
      </w:r>
    </w:p>
    <w:p w:rsidR="00610108" w:rsidRDefault="00610108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238BD" w:rsidRDefault="001238BD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610108" w:rsidRPr="002C4091" w:rsidRDefault="00610108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2C4091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lastRenderedPageBreak/>
        <w:t>II POSEBNI DIO</w:t>
      </w:r>
    </w:p>
    <w:p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Planirani rashodi prema programima i aktivnostima:</w:t>
      </w:r>
    </w:p>
    <w:p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 w:rsidRPr="000F7DD2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Jedinstveni upravni odjel Općine Vinica</w:t>
      </w:r>
    </w:p>
    <w:p w:rsidR="000F7DD2" w:rsidRDefault="000F7DD2" w:rsidP="002B68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:rsidR="000F7DD2" w:rsidRDefault="00FA03FA" w:rsidP="000F7DD2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Program </w:t>
      </w:r>
      <w:r w:rsidR="000F7DD2" w:rsidRPr="000F7DD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redovni izdaci poslovanja, koji obuhvaćaju aktivnosti plaće i naknade i materijalne rashode </w:t>
      </w:r>
      <w:r w:rsidR="000F7DD2">
        <w:rPr>
          <w:rFonts w:ascii="Times New Roman" w:eastAsiaTheme="minorEastAsia" w:hAnsi="Times New Roman" w:cs="Times New Roman"/>
          <w:sz w:val="24"/>
          <w:szCs w:val="24"/>
          <w:lang w:eastAsia="hr-HR"/>
        </w:rPr>
        <w:t>koji su neophodni za rad i funkcioniranje Jedinstvenog upravnog odjela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i pla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nirani su u iznosu od 714.916,00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0F7DD2" w:rsidRDefault="000F7DD2" w:rsidP="000F7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F7DD2" w:rsidRDefault="00FA03FA" w:rsidP="000F7DD2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</w:t>
      </w:r>
      <w:r w:rsidR="000F7DD2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kapitalna ulaganja odnose se na planiranu nabavu uredske opreme, računalne opreme i računalne programe i dodatna ulaganja na objektu dječji vrtić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379.339</w:t>
      </w:r>
      <w:proofErr w:type="spellEnd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,00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>€</w:t>
      </w:r>
    </w:p>
    <w:p w:rsidR="00FA03FA" w:rsidRDefault="00FA03FA" w:rsidP="000F7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0F7DD2" w:rsidRDefault="00FA03FA" w:rsidP="000F7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P</w:t>
      </w:r>
      <w:r w:rsidRPr="00FA03FA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redstavnička i izvršna tijela Općine</w:t>
      </w:r>
    </w:p>
    <w:p w:rsidR="00FA03FA" w:rsidRDefault="00FA03FA" w:rsidP="000F7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:rsidR="00FA03FA" w:rsidRDefault="00FA03FA" w:rsidP="00FA03FA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Program </w:t>
      </w:r>
      <w:r w:rsidRPr="00FA03FA">
        <w:rPr>
          <w:rFonts w:ascii="Times New Roman" w:eastAsiaTheme="minorEastAsia" w:hAnsi="Times New Roman" w:cs="Times New Roman"/>
          <w:sz w:val="24"/>
          <w:szCs w:val="24"/>
          <w:lang w:eastAsia="hr-HR"/>
        </w:rPr>
        <w:t>redovni izdaci poslovanja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, podrazumijevaju rashode za funkcioniranje i rad predstavničkih i izvršnih tijela Općine Vinica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16.629,00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FA03FA" w:rsidRDefault="00FA03FA" w:rsidP="00FA03FA">
      <w:pPr>
        <w:pStyle w:val="Odlomakpopisa"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FA03FA" w:rsidRDefault="00FA03FA" w:rsidP="00FA0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K</w:t>
      </w:r>
      <w:r w:rsidRPr="00FA03FA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omunalne stambene i djelatnosti uređenja prostora</w:t>
      </w:r>
    </w:p>
    <w:p w:rsidR="00FA03FA" w:rsidRDefault="00FA03FA" w:rsidP="00FA0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 Komunalna djelatnost</w:t>
      </w:r>
    </w:p>
    <w:p w:rsidR="00FA03FA" w:rsidRDefault="00FA03FA" w:rsidP="00FA03FA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FA03FA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redovni izdaci poslovanja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obuhvaća aktivnosti materijalni rashodi i odnosi se na </w:t>
      </w:r>
      <w:r w:rsidR="00577CF2">
        <w:rPr>
          <w:rFonts w:ascii="Times New Roman" w:eastAsiaTheme="minorEastAsia" w:hAnsi="Times New Roman" w:cs="Times New Roman"/>
          <w:sz w:val="24"/>
          <w:szCs w:val="24"/>
          <w:lang w:eastAsia="hr-HR"/>
        </w:rPr>
        <w:t>rashode za javnu rasvjetu, tekuće i investicijsko održavanje javne rasvjete, rashode za tekuće i investicijsko održavanje kanala i graba, nerazvrstanih cesta, poljskih puteva. Obuhvaća i rashode za ulaga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>nje u turist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ičku infrastrukturu  </w:t>
      </w:r>
      <w:proofErr w:type="spellStart"/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>228.995</w:t>
      </w:r>
      <w:proofErr w:type="spellEnd"/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,00 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577CF2" w:rsidRDefault="00577CF2" w:rsidP="00FA03FA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kapitalna ulaganja, aktivnost materijalni rashodi, kojim su planirani rashodi za inv. održavanje led rasvjete, modernizacija i sanacija nerazvrstanih cesta i izgradnja Sportskog centra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186.211,00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577CF2" w:rsidRDefault="00577CF2" w:rsidP="00577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Stambena djelatnost</w:t>
      </w:r>
    </w:p>
    <w:p w:rsidR="00577CF2" w:rsidRDefault="00577CF2" w:rsidP="00577CF2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577CF2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redovni izdaci poslovanja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, aktivnost materijalni rashodi koji se odnose na rashode za energiju općinskih objekata, tekuće i investicijsko održavanje općinskih objekata, nadzor i projekti za dodatna ulaganja na općinskim objektima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79.502,00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577CF2" w:rsidRDefault="00577CF2" w:rsidP="00577CF2">
      <w:pPr>
        <w:pStyle w:val="Odlomakpopis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kapitalna ulaganja, aktivnost nabava kapitalne imovine kojom su planir</w:t>
      </w:r>
      <w:r w:rsidR="00233C66">
        <w:rPr>
          <w:rFonts w:ascii="Times New Roman" w:eastAsiaTheme="minorEastAsia" w:hAnsi="Times New Roman" w:cs="Times New Roman"/>
          <w:sz w:val="24"/>
          <w:szCs w:val="24"/>
          <w:lang w:eastAsia="hr-HR"/>
        </w:rPr>
        <w:t>ani rashodi za nabavu razglasa i projektora u kino dvorani i uređenje društvenih domova Općine Vinica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291.991,00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233C66" w:rsidRDefault="00233C66" w:rsidP="00233C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Prostorno planiranje, zaštita okoliša i kulturnih spomenika</w:t>
      </w:r>
    </w:p>
    <w:p w:rsidR="00233C66" w:rsidRDefault="00233C66" w:rsidP="00233C6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233C66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redovni izdaci poslovanja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, aktivnost materijalni rashodi uključuju planirane rashode za uređenje zelenih površina i pješačko-biciklističkih staza i rashodi za intelektualne usluge izrade projekta i programa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124.190,00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233C66" w:rsidRDefault="00233C66" w:rsidP="00233C66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Program kapitalna ulaganja, aktivnost nabava kapitalne imovine uključuje  rashode za planirano dodatno ulaganje na Kuriji Patačić, uređenje sportskih objekta, oprema za </w:t>
      </w:r>
      <w:r w:rsidR="00D92E29">
        <w:rPr>
          <w:rFonts w:ascii="Times New Roman" w:eastAsiaTheme="minorEastAsia" w:hAnsi="Times New Roman" w:cs="Times New Roman"/>
          <w:sz w:val="24"/>
          <w:szCs w:val="24"/>
          <w:lang w:eastAsia="hr-HR"/>
        </w:rPr>
        <w:t>održavanje i zaštitu na groblju, uređenje dječjih igrališta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199.084,00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D92E29" w:rsidRDefault="00D92E29" w:rsidP="00D92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Vatrogastvo i sigurnost</w:t>
      </w:r>
    </w:p>
    <w:p w:rsidR="00D92E29" w:rsidRDefault="00D92E29" w:rsidP="00D92E29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92E29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redovni izdaci poslovanja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, aktivnost donacije i ostal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>i rashodi odnosi se na rashode z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a tekuće donacije Vatrogasnoj zajednici Općine Vinica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33.135,00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D92E29" w:rsidRDefault="00D92E29" w:rsidP="00D92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92E29" w:rsidRPr="00D92E29" w:rsidRDefault="00D92E29" w:rsidP="00D92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 w:rsidRPr="00D92E29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Kultura, znanost, šport</w:t>
      </w:r>
    </w:p>
    <w:p w:rsidR="00FA03FA" w:rsidRDefault="00D92E29" w:rsidP="00FA03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Kultura</w:t>
      </w:r>
    </w:p>
    <w:p w:rsidR="00D92E29" w:rsidRDefault="00D92E29" w:rsidP="00D92E29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92E29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redovni izdaci poslovanja, aktivnost donacije i ostali rashodi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45.434</w:t>
      </w:r>
      <w:proofErr w:type="spellEnd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€,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lastRenderedPageBreak/>
        <w:t>odnosi se na obilježavanje kulturnih događaja i manifestacija</w:t>
      </w:r>
    </w:p>
    <w:p w:rsidR="00D92E29" w:rsidRDefault="00D92E29" w:rsidP="00D92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Šport</w:t>
      </w:r>
    </w:p>
    <w:p w:rsidR="00D92E29" w:rsidRDefault="00D92E29" w:rsidP="00D92E29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92E29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redovni izdaci poslovanja, aktivnost donacije i ostali rashodi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74.997</w:t>
      </w:r>
      <w:proofErr w:type="spellEnd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€,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osim planiranih rashoda za tekuće donacije sportskim društvima, uključuju i rashode za nabavu sportske opreme i donacije sportskim društvima za provedbu sportsko edukativnih i rekreativnih programa i organizaciju događaja</w:t>
      </w:r>
    </w:p>
    <w:p w:rsidR="00D92E29" w:rsidRDefault="00D92E29" w:rsidP="00D92E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Školstvo</w:t>
      </w:r>
    </w:p>
    <w:p w:rsidR="00D92E29" w:rsidRDefault="00D92E29" w:rsidP="00D92E29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92E29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predškolski odgoj – redovni izdaci poslovanja, akti</w:t>
      </w:r>
      <w:r w:rsidR="001604F5">
        <w:rPr>
          <w:rFonts w:ascii="Times New Roman" w:eastAsiaTheme="minorEastAsia" w:hAnsi="Times New Roman" w:cs="Times New Roman"/>
          <w:sz w:val="24"/>
          <w:szCs w:val="24"/>
          <w:lang w:eastAsia="hr-HR"/>
        </w:rPr>
        <w:t>vnost donacije i ostali rashodi koji se odnose na sufinanciranje tr. polaznika dječjih vrtića i ostale rashode za predškolski odgoj</w:t>
      </w:r>
      <w:r w:rsidR="00501CE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191.385,00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1604F5" w:rsidRDefault="001604F5" w:rsidP="001604F5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1604F5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osnovno obrazovanje – redovni izdaci poslovanja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 aktivnost donacije i ostali rashodi odnosi se na rashode vezano za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osnovnoškolstvo</w:t>
      </w:r>
      <w:proofErr w:type="spellEnd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u iznosu od 59.063,00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1604F5" w:rsidRDefault="005A4E4A" w:rsidP="00DA5145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srednjo</w:t>
      </w:r>
      <w:r w:rsidR="001604F5">
        <w:rPr>
          <w:rFonts w:ascii="Times New Roman" w:eastAsiaTheme="minorEastAsia" w:hAnsi="Times New Roman" w:cs="Times New Roman"/>
          <w:sz w:val="24"/>
          <w:szCs w:val="24"/>
          <w:lang w:eastAsia="hr-HR"/>
        </w:rPr>
        <w:t>školsko obrazovanje-redovni izdaci poslovanja, aktivnost tekuće potpore, uključuju rashode vezane za potpore srednjoškolcima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 ulaganja u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srednjo</w:t>
      </w:r>
      <w:r w:rsidR="00DA5145" w:rsidRP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>školstvo</w:t>
      </w:r>
      <w:proofErr w:type="spellEnd"/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>, p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lanirani iznos rashoda 17.917,00</w:t>
      </w:r>
      <w:r w:rsid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</w:t>
      </w:r>
    </w:p>
    <w:p w:rsidR="00382FFF" w:rsidRPr="001238BD" w:rsidRDefault="00DA5145" w:rsidP="00382FFF">
      <w:pPr>
        <w:pStyle w:val="Odlomakpopisa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visokoškolsko obrazovanje-redovni izdaci poslovanja, aktivnost donacije i ostali r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a</w:t>
      </w:r>
      <w:r w:rsidRPr="00DA5145">
        <w:rPr>
          <w:rFonts w:ascii="Times New Roman" w:eastAsiaTheme="minorEastAsia" w:hAnsi="Times New Roman" w:cs="Times New Roman"/>
          <w:sz w:val="24"/>
          <w:szCs w:val="24"/>
          <w:lang w:eastAsia="hr-HR"/>
        </w:rPr>
        <w:t>shodi</w:t>
      </w:r>
      <w:r w:rsidR="00501CE7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40.479,00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 </w:t>
      </w:r>
      <w:r w:rsidR="00382FFF">
        <w:rPr>
          <w:rFonts w:ascii="Times New Roman" w:eastAsiaTheme="minorEastAsia" w:hAnsi="Times New Roman" w:cs="Times New Roman"/>
          <w:sz w:val="24"/>
          <w:szCs w:val="24"/>
          <w:lang w:eastAsia="hr-HR"/>
        </w:rPr>
        <w:t>uključuje mjesečne potpore studentima i druge naknade za visokoškolsko obrazovanje</w:t>
      </w: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 w:rsidRPr="00382FFF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Socijalna skrb</w:t>
      </w: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:rsidR="00382FFF" w:rsidRDefault="00382FFF" w:rsidP="00382FFF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82FFF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redovni izdaci poslovanja, aktivnost donacije i ostali rashodi</w:t>
      </w:r>
      <w:r w:rsidR="00CA463B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35.969</w:t>
      </w:r>
      <w:proofErr w:type="spellEnd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 odnosi se na naknade građanima i kućanstvima u novcu, darovi Sv. Nikola i ostale tekuće donacije, socijalni program</w:t>
      </w:r>
    </w:p>
    <w:p w:rsidR="00382FFF" w:rsidRP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 w:rsidRPr="00382FFF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Ostali korisnici</w:t>
      </w: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:rsidR="00382FFF" w:rsidRDefault="00382FFF" w:rsidP="00382FFF">
      <w:pPr>
        <w:pStyle w:val="Odlomakpopis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 w:rsidRPr="00382FFF">
        <w:rPr>
          <w:rFonts w:ascii="Times New Roman" w:eastAsiaTheme="minorEastAsia" w:hAnsi="Times New Roman" w:cs="Times New Roman"/>
          <w:sz w:val="24"/>
          <w:szCs w:val="24"/>
          <w:lang w:eastAsia="hr-HR"/>
        </w:rPr>
        <w:t>Program redovni izdaci poslovanja, aktivnost donacije i ostali rashodi</w:t>
      </w:r>
      <w:r w:rsidR="0005366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38.604</w:t>
      </w:r>
      <w:proofErr w:type="spellEnd"/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,00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€ sastoji se od tekućih donacija udrugama i polit</w:t>
      </w:r>
      <w:r w:rsidR="00053665">
        <w:rPr>
          <w:rFonts w:ascii="Times New Roman" w:eastAsiaTheme="minorEastAsia" w:hAnsi="Times New Roman" w:cs="Times New Roman"/>
          <w:sz w:val="24"/>
          <w:szCs w:val="24"/>
          <w:lang w:eastAsia="hr-HR"/>
        </w:rPr>
        <w:t>i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čkim strankama te vjerskim i humanitarnim organizacijama</w:t>
      </w: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 w:rsidRPr="00382FFF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Proračunski korisnik Dječji vrtić Vinica</w:t>
      </w: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</w:p>
    <w:p w:rsidR="00382FFF" w:rsidRDefault="00382FFF" w:rsidP="00382F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773593" w:rsidRDefault="00773593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Dječji vrtić Vinica je javna ustanova čiji je osnivač Općina Vinica. Ostvaruje programe predškolskog odgoja na temelju godišnjeg plana i programa odgojno-obrazovnog rada koji se donosi za svaku</w:t>
      </w:r>
      <w:r w:rsidR="00E8434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pedagošku godinu. U 2023. godini dječji vrtić planira ostvariti vlastite prihode u iznosu od 121.640,00 €, prihode od Općine Vinica u iznosu od 183.700,00 €, Prihodi od pomoći 2.000,00 € i prihode od imovine 20,00 €. </w:t>
      </w:r>
    </w:p>
    <w:p w:rsidR="00E84343" w:rsidRDefault="00E84343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 2023. godini dječji vrtić planira ostvariti rashode u iznosu od  307.360,00 €, a koji </w:t>
      </w:r>
      <w:r w:rsidR="0005366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uključuju ukupne rashode za zaposlene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231</w:t>
      </w:r>
      <w:r w:rsidR="00053665">
        <w:rPr>
          <w:rFonts w:ascii="Times New Roman" w:eastAsiaTheme="minorEastAsia" w:hAnsi="Times New Roman" w:cs="Times New Roman"/>
          <w:sz w:val="24"/>
          <w:szCs w:val="24"/>
          <w:lang w:eastAsia="hr-HR"/>
        </w:rPr>
        <w:t>.200</w:t>
      </w:r>
      <w:proofErr w:type="spellEnd"/>
      <w:r w:rsidR="0005366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,00 € i Rashode poslovanja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76.160,00 €.</w:t>
      </w:r>
    </w:p>
    <w:p w:rsidR="00E84343" w:rsidRDefault="00E84343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E84343" w:rsidRDefault="00E84343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Svojom djelatnošću Dječji vrtić Vinica ima cilj osigurati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veći standard predškolskog odgoja na području općine Vinica i ostvariti kvalitetu smještaja djece u predškolskoj ustanovi u skladu 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s normativima utvrđenog standar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da u svrhu očuvanja tjelesnog i mentalnog razvoja djece.</w:t>
      </w:r>
    </w:p>
    <w:p w:rsidR="00D85B31" w:rsidRDefault="00D85B31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1238BD" w:rsidRDefault="001238BD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85B31" w:rsidRDefault="00D85B31" w:rsidP="00E8434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85B31" w:rsidRPr="006629B3" w:rsidRDefault="00D85B31" w:rsidP="006629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</w:pPr>
      <w:r w:rsidRPr="006629B3">
        <w:rPr>
          <w:rFonts w:ascii="Times New Roman" w:eastAsiaTheme="minorEastAsia" w:hAnsi="Times New Roman" w:cs="Times New Roman"/>
          <w:b/>
          <w:sz w:val="24"/>
          <w:szCs w:val="24"/>
          <w:lang w:eastAsia="hr-HR"/>
        </w:rPr>
        <w:lastRenderedPageBreak/>
        <w:t>III STRATEŠKO PLANIRANJE</w:t>
      </w:r>
    </w:p>
    <w:p w:rsidR="00D85B31" w:rsidRDefault="00D85B31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85B31" w:rsidRDefault="00D85B31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D85B31" w:rsidRDefault="00D85B31" w:rsidP="006629B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Prijedlog proračuna Općine Vinica za 2023. godinu i projekcije za 2024. i 2025. godinu usklađene su sa strateškim ciljevima </w:t>
      </w:r>
      <w:r w:rsidR="001A0B3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i razvojnim potrebama </w:t>
      </w: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Općine Vinica d</w:t>
      </w:r>
      <w:r w:rsidR="002C4091">
        <w:rPr>
          <w:rFonts w:ascii="Times New Roman" w:eastAsiaTheme="minorEastAsia" w:hAnsi="Times New Roman" w:cs="Times New Roman"/>
          <w:sz w:val="24"/>
          <w:szCs w:val="24"/>
          <w:lang w:eastAsia="hr-HR"/>
        </w:rPr>
        <w:t>efinirane strateškim aktom</w:t>
      </w:r>
      <w:r w:rsidR="001A0B3E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: štititi kulturna i prirodna bogatstva, uspostava programa za sprečavanje daljnje depopulacije stanovništva, graditi novu i održavati staru infrastrukturu, razvoj turizma, </w:t>
      </w:r>
      <w:r w:rsidR="004925B8">
        <w:rPr>
          <w:rFonts w:ascii="Times New Roman" w:eastAsiaTheme="minorEastAsia" w:hAnsi="Times New Roman" w:cs="Times New Roman"/>
          <w:sz w:val="24"/>
          <w:szCs w:val="24"/>
          <w:lang w:eastAsia="hr-HR"/>
        </w:rPr>
        <w:t>objekti za rekreaciju građana, potpore u stambenom zbrinjavanju mladih, briga za socijalno ugrožene, briga za djecu od najranije dobi do završetka fakul</w:t>
      </w:r>
      <w:r w:rsidR="005A4E4A">
        <w:rPr>
          <w:rFonts w:ascii="Times New Roman" w:eastAsiaTheme="minorEastAsia" w:hAnsi="Times New Roman" w:cs="Times New Roman"/>
          <w:sz w:val="24"/>
          <w:szCs w:val="24"/>
          <w:lang w:eastAsia="hr-HR"/>
        </w:rPr>
        <w:t>teta, poticanje vatrogastva, civ</w:t>
      </w:r>
      <w:r w:rsidR="004925B8">
        <w:rPr>
          <w:rFonts w:ascii="Times New Roman" w:eastAsiaTheme="minorEastAsia" w:hAnsi="Times New Roman" w:cs="Times New Roman"/>
          <w:sz w:val="24"/>
          <w:szCs w:val="24"/>
          <w:lang w:eastAsia="hr-HR"/>
        </w:rPr>
        <w:t>ilne zaštite, udruga na području općine, postojanje mjesta na kojima se može razviti sportsko –rekreativni centar, uspostavljen sustav brige za starije građane, uspostavljen  sustav predškolske skrbi.</w:t>
      </w:r>
    </w:p>
    <w:p w:rsidR="004925B8" w:rsidRDefault="004925B8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4925B8" w:rsidRDefault="004925B8" w:rsidP="006629B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Prijedlogom proračuna i projekcije planiran je nastavak kapitalnih investicija:</w:t>
      </w:r>
    </w:p>
    <w:p w:rsidR="004925B8" w:rsidRPr="00854F85" w:rsidRDefault="004925B8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-modernizacija i sanacija nerazvrstanih cesta</w:t>
      </w:r>
      <w:r w:rsidR="003A59F3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 </w:t>
      </w:r>
    </w:p>
    <w:p w:rsidR="003A59F3" w:rsidRPr="00854F85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</w:pPr>
      <w:r w:rsidRPr="00854F85">
        <w:rPr>
          <w:rFonts w:ascii="Times New Roman" w:eastAsiaTheme="minorEastAsia" w:hAnsi="Times New Roman" w:cs="Times New Roman"/>
          <w:i/>
          <w:sz w:val="24"/>
          <w:szCs w:val="24"/>
          <w:lang w:eastAsia="hr-HR"/>
        </w:rPr>
        <w:t>-</w:t>
      </w:r>
      <w:r w:rsidRPr="00854F8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ostali građevinski objekti, </w:t>
      </w:r>
      <w:r w:rsidR="00854F8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opremanje </w:t>
      </w:r>
      <w:r w:rsidRPr="00854F85">
        <w:rPr>
          <w:rFonts w:ascii="Times New Roman" w:eastAsiaTheme="minorEastAsia" w:hAnsi="Times New Roman" w:cs="Times New Roman"/>
          <w:sz w:val="24"/>
          <w:szCs w:val="24"/>
          <w:lang w:eastAsia="hr-HR"/>
        </w:rPr>
        <w:t>sportski objekti</w:t>
      </w:r>
    </w:p>
    <w:p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-turistička infrastruktura </w:t>
      </w:r>
    </w:p>
    <w:p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-dječja igrališta, moduli za dječja igrališta</w:t>
      </w:r>
    </w:p>
    <w:p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-sportski centar, faza I, II </w:t>
      </w:r>
    </w:p>
    <w:p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-uredska oprema i namještaj</w:t>
      </w:r>
    </w:p>
    <w:p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-oprema za održavanje i zaštitu </w:t>
      </w:r>
    </w:p>
    <w:p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-uređaji strojevi i oprem</w:t>
      </w:r>
      <w:r w:rsidR="00854F8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a za ostale namjene </w:t>
      </w:r>
    </w:p>
    <w:p w:rsidR="003A59F3" w:rsidRDefault="003A59F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>-dodatna ula</w:t>
      </w:r>
      <w:r w:rsidR="00854F85"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ganja na građevinskim objektima, Kurija Patačić </w:t>
      </w:r>
    </w:p>
    <w:p w:rsidR="00854F85" w:rsidRDefault="00854F85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-dodatna ulaganja na građevinskim objektima, dogradnja dječjeg vrtića </w:t>
      </w:r>
    </w:p>
    <w:p w:rsidR="00854F85" w:rsidRDefault="00854F85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-dodatna ulaganja na građevinskim objektima, općinski objekti </w:t>
      </w:r>
    </w:p>
    <w:p w:rsidR="00854F85" w:rsidRDefault="00854F85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hr-HR"/>
        </w:rPr>
        <w:t xml:space="preserve">-dodatna ulaganja na građevinskim objektima, zgrada općine </w:t>
      </w:r>
    </w:p>
    <w:p w:rsidR="001A0B3E" w:rsidRDefault="001A0B3E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6629B3" w:rsidRDefault="006629B3" w:rsidP="00D85B3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</w:p>
    <w:p w:rsidR="002B68FF" w:rsidRDefault="006629B3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</w:t>
      </w:r>
      <w:r w:rsidRPr="006629B3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 za 2023.</w:t>
      </w:r>
      <w:r w:rsidRPr="006629B3">
        <w:rPr>
          <w:rFonts w:ascii="Times New Roman" w:hAnsi="Times New Roman" w:cs="Times New Roman"/>
        </w:rPr>
        <w:t xml:space="preserve"> i projekcije</w:t>
      </w:r>
      <w:r>
        <w:rPr>
          <w:rFonts w:ascii="Times New Roman" w:hAnsi="Times New Roman" w:cs="Times New Roman"/>
        </w:rPr>
        <w:t xml:space="preserve"> za 2024. i 2025. godinu</w:t>
      </w:r>
      <w:r w:rsidR="0096706D">
        <w:rPr>
          <w:rFonts w:ascii="Times New Roman" w:hAnsi="Times New Roman" w:cs="Times New Roman"/>
        </w:rPr>
        <w:t xml:space="preserve"> uključuje očekivanu </w:t>
      </w:r>
      <w:r w:rsidRPr="006629B3">
        <w:rPr>
          <w:rFonts w:ascii="Times New Roman" w:hAnsi="Times New Roman" w:cs="Times New Roman"/>
        </w:rPr>
        <w:t xml:space="preserve"> podrš</w:t>
      </w:r>
      <w:r>
        <w:rPr>
          <w:rFonts w:ascii="Times New Roman" w:hAnsi="Times New Roman" w:cs="Times New Roman"/>
        </w:rPr>
        <w:t>k</w:t>
      </w:r>
      <w:r w:rsidR="0096706D">
        <w:rPr>
          <w:rFonts w:ascii="Times New Roman" w:hAnsi="Times New Roman" w:cs="Times New Roman"/>
        </w:rPr>
        <w:t>u</w:t>
      </w:r>
      <w:r w:rsidRPr="006629B3">
        <w:rPr>
          <w:rFonts w:ascii="Times New Roman" w:hAnsi="Times New Roman" w:cs="Times New Roman"/>
        </w:rPr>
        <w:t xml:space="preserve"> u realizacijama kandidiranih projekata i programa iz različitih izvora financiranja</w:t>
      </w:r>
      <w:r w:rsidR="0096706D">
        <w:rPr>
          <w:rFonts w:ascii="Times New Roman" w:hAnsi="Times New Roman" w:cs="Times New Roman"/>
        </w:rPr>
        <w:t>.</w:t>
      </w: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3580"/>
        <w:gridCol w:w="2105"/>
        <w:gridCol w:w="2268"/>
      </w:tblGrid>
      <w:tr w:rsidR="0096706D" w:rsidRPr="0096706D" w:rsidTr="00F90E4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06D" w:rsidRPr="0096706D" w:rsidRDefault="0096706D" w:rsidP="0096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67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706D" w:rsidRPr="0096706D" w:rsidRDefault="0096706D" w:rsidP="009670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67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i primici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06D" w:rsidRPr="0096706D" w:rsidRDefault="0096706D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6706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i izdaci</w:t>
            </w:r>
          </w:p>
        </w:tc>
      </w:tr>
      <w:tr w:rsidR="0096706D" w:rsidRPr="0096706D" w:rsidTr="00F90E4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06D" w:rsidRPr="0096706D" w:rsidRDefault="0096706D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Opći prihodi i primici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06D" w:rsidRPr="0096706D" w:rsidRDefault="00501CE7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1.674.767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706D" w:rsidRPr="0096706D" w:rsidRDefault="00501CE7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1.674.767</w:t>
            </w:r>
            <w:r w:rsidR="00270352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270352" w:rsidRPr="0096706D" w:rsidTr="00F90E4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Vlastiti prihodi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204.949,00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072BB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204.949,00</w:t>
            </w:r>
          </w:p>
        </w:tc>
      </w:tr>
      <w:tr w:rsidR="00270352" w:rsidRPr="0096706D" w:rsidTr="00F90E4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Prihodi od spomeničke rente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13,00</w:t>
            </w:r>
          </w:p>
        </w:tc>
      </w:tr>
      <w:tr w:rsidR="00270352" w:rsidRPr="0096706D" w:rsidTr="00F90E4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prihodi za posebne namjene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58.237,00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58.237,00</w:t>
            </w:r>
          </w:p>
        </w:tc>
      </w:tr>
      <w:tr w:rsidR="00270352" w:rsidRPr="0096706D" w:rsidTr="00F90E4B">
        <w:trPr>
          <w:trHeight w:val="300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Ostale pomoći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1.108.653,00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1.108.653,00</w:t>
            </w:r>
          </w:p>
        </w:tc>
      </w:tr>
      <w:tr w:rsidR="00270352" w:rsidRPr="0096706D" w:rsidTr="00F90E4B">
        <w:trPr>
          <w:trHeight w:val="4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0352" w:rsidRPr="0096706D" w:rsidRDefault="00270352" w:rsidP="009670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Prihodi od prodaje ili zamjene </w:t>
            </w:r>
            <w:proofErr w:type="spellStart"/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nefinan</w:t>
            </w:r>
            <w:proofErr w:type="spellEnd"/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</w:t>
            </w:r>
            <w:r w:rsidRPr="0096706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br/>
              <w:t>imovine i naknade s naslova osiguranja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6706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18.581,00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0352" w:rsidRPr="0096706D" w:rsidRDefault="00270352" w:rsidP="0096706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18.581,00</w:t>
            </w:r>
          </w:p>
        </w:tc>
      </w:tr>
    </w:tbl>
    <w:p w:rsidR="0096706D" w:rsidRDefault="0096706D" w:rsidP="00A035AD">
      <w:pPr>
        <w:jc w:val="both"/>
        <w:rPr>
          <w:rFonts w:ascii="Times New Roman" w:hAnsi="Times New Roman" w:cs="Times New Roman"/>
        </w:rPr>
      </w:pPr>
    </w:p>
    <w:p w:rsidR="0096706D" w:rsidRPr="006629B3" w:rsidRDefault="0096706D" w:rsidP="00A035A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Ovo Obrazloženje, zajedno s projekcijama za 2024. i 2025. godinu sastavni su dio Proračuna Općine Vinica za 2023. godinu.</w:t>
      </w:r>
    </w:p>
    <w:p w:rsidR="00A035AD" w:rsidRPr="00A035AD" w:rsidRDefault="00A035AD" w:rsidP="00A035AD">
      <w:pPr>
        <w:ind w:firstLine="708"/>
        <w:jc w:val="both"/>
        <w:rPr>
          <w:rFonts w:ascii="Times New Roman" w:hAnsi="Times New Roman" w:cs="Times New Roman"/>
          <w:b/>
        </w:rPr>
      </w:pPr>
    </w:p>
    <w:sectPr w:rsidR="00A035AD" w:rsidRPr="00A03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DA6"/>
    <w:multiLevelType w:val="hybridMultilevel"/>
    <w:tmpl w:val="5E3A64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9608DE"/>
    <w:multiLevelType w:val="hybridMultilevel"/>
    <w:tmpl w:val="DCC04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D548B"/>
    <w:multiLevelType w:val="hybridMultilevel"/>
    <w:tmpl w:val="1EC85B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F24AB"/>
    <w:multiLevelType w:val="hybridMultilevel"/>
    <w:tmpl w:val="398049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B40998"/>
    <w:multiLevelType w:val="hybridMultilevel"/>
    <w:tmpl w:val="84FAF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C8650A"/>
    <w:multiLevelType w:val="hybridMultilevel"/>
    <w:tmpl w:val="0DF83B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6473D0"/>
    <w:multiLevelType w:val="hybridMultilevel"/>
    <w:tmpl w:val="626E7E4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7E585896"/>
    <w:multiLevelType w:val="hybridMultilevel"/>
    <w:tmpl w:val="83361BF6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15D"/>
    <w:rsid w:val="00053665"/>
    <w:rsid w:val="000D0DFD"/>
    <w:rsid w:val="000F7DD2"/>
    <w:rsid w:val="001238BD"/>
    <w:rsid w:val="001604F5"/>
    <w:rsid w:val="001A0B3E"/>
    <w:rsid w:val="001E4F3C"/>
    <w:rsid w:val="00233C66"/>
    <w:rsid w:val="00270352"/>
    <w:rsid w:val="002B68FF"/>
    <w:rsid w:val="002C03F1"/>
    <w:rsid w:val="002C4091"/>
    <w:rsid w:val="00343A3F"/>
    <w:rsid w:val="003825EF"/>
    <w:rsid w:val="00382FFF"/>
    <w:rsid w:val="003A59F3"/>
    <w:rsid w:val="00417EC6"/>
    <w:rsid w:val="004925B8"/>
    <w:rsid w:val="00501CE7"/>
    <w:rsid w:val="00577CF2"/>
    <w:rsid w:val="005A4E4A"/>
    <w:rsid w:val="005F717A"/>
    <w:rsid w:val="00610108"/>
    <w:rsid w:val="00654A11"/>
    <w:rsid w:val="006629B3"/>
    <w:rsid w:val="006F2B1F"/>
    <w:rsid w:val="00773593"/>
    <w:rsid w:val="00773E6A"/>
    <w:rsid w:val="007B7F4F"/>
    <w:rsid w:val="00836528"/>
    <w:rsid w:val="00854F85"/>
    <w:rsid w:val="00954770"/>
    <w:rsid w:val="0096706D"/>
    <w:rsid w:val="009F44D2"/>
    <w:rsid w:val="00A035AD"/>
    <w:rsid w:val="00AA1B0F"/>
    <w:rsid w:val="00AD72BD"/>
    <w:rsid w:val="00AE415D"/>
    <w:rsid w:val="00B86F3C"/>
    <w:rsid w:val="00C07B52"/>
    <w:rsid w:val="00CA463B"/>
    <w:rsid w:val="00CF63AF"/>
    <w:rsid w:val="00D33B26"/>
    <w:rsid w:val="00D35906"/>
    <w:rsid w:val="00D55469"/>
    <w:rsid w:val="00D85B31"/>
    <w:rsid w:val="00D92E29"/>
    <w:rsid w:val="00DA5145"/>
    <w:rsid w:val="00E84343"/>
    <w:rsid w:val="00ED3652"/>
    <w:rsid w:val="00F90E4B"/>
    <w:rsid w:val="00FA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D5546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5546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0F7D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D55469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D55469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styleId="Odlomakpopisa">
    <w:name w:val="List Paragraph"/>
    <w:basedOn w:val="Normal"/>
    <w:uiPriority w:val="34"/>
    <w:qFormat/>
    <w:rsid w:val="000F7DD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9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90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1903</Words>
  <Characters>10851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4</cp:revision>
  <cp:lastPrinted>2022-12-07T08:45:00Z</cp:lastPrinted>
  <dcterms:created xsi:type="dcterms:W3CDTF">2022-12-13T12:29:00Z</dcterms:created>
  <dcterms:modified xsi:type="dcterms:W3CDTF">2022-12-22T07:17:00Z</dcterms:modified>
</cp:coreProperties>
</file>