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C4" w:rsidRDefault="00C561C4" w:rsidP="00D1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0" wp14:anchorId="52059BAA" wp14:editId="3C319735">
            <wp:simplePos x="0" y="0"/>
            <wp:positionH relativeFrom="column">
              <wp:posOffset>99695</wp:posOffset>
            </wp:positionH>
            <wp:positionV relativeFrom="paragraph">
              <wp:posOffset>-247650</wp:posOffset>
            </wp:positionV>
            <wp:extent cx="428625" cy="561975"/>
            <wp:effectExtent l="0" t="0" r="9525" b="9525"/>
            <wp:wrapTight wrapText="bothSides">
              <wp:wrapPolygon edited="0">
                <wp:start x="3840" y="0"/>
                <wp:lineTo x="0" y="0"/>
                <wp:lineTo x="0" y="15376"/>
                <wp:lineTo x="2880" y="21234"/>
                <wp:lineTo x="4800" y="21234"/>
                <wp:lineTo x="16320" y="21234"/>
                <wp:lineTo x="18240" y="21234"/>
                <wp:lineTo x="21120" y="15376"/>
                <wp:lineTo x="21120" y="0"/>
                <wp:lineTo x="17280" y="0"/>
                <wp:lineTo x="3840" y="0"/>
              </wp:wrapPolygon>
            </wp:wrapTight>
            <wp:docPr id="1" name="Slika 1" descr="Datoteka:Coat of arms of Croatia.svg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oteka:Coat of arms of Croatia.svg – Wikipedija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1C4" w:rsidRDefault="00C561C4" w:rsidP="00D1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1C4" w:rsidRDefault="00C561C4" w:rsidP="00D1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1C4" w:rsidRPr="00C561C4" w:rsidRDefault="00C561C4" w:rsidP="00C561C4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C561C4">
        <w:rPr>
          <w:rFonts w:ascii="Times New Roman" w:eastAsia="Times New Roman" w:hAnsi="Times New Roman"/>
          <w:sz w:val="20"/>
          <w:szCs w:val="20"/>
          <w:lang w:eastAsia="hr-HR"/>
        </w:rPr>
        <w:t>REPUBLIKA HRVATSKA</w:t>
      </w:r>
    </w:p>
    <w:p w:rsidR="00C561C4" w:rsidRPr="00C561C4" w:rsidRDefault="00C561C4" w:rsidP="00C561C4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C561C4">
        <w:rPr>
          <w:rFonts w:ascii="Times New Roman" w:eastAsia="Times New Roman" w:hAnsi="Times New Roman"/>
          <w:sz w:val="20"/>
          <w:szCs w:val="20"/>
          <w:lang w:eastAsia="hr-HR"/>
        </w:rPr>
        <w:t>VARAŽDINSKA ŽUPANIJA</w:t>
      </w:r>
    </w:p>
    <w:p w:rsidR="00C561C4" w:rsidRPr="00C561C4" w:rsidRDefault="00C561C4" w:rsidP="00C561C4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C561C4">
        <w:rPr>
          <w:rFonts w:ascii="Times New Roman" w:eastAsia="Times New Roman" w:hAnsi="Times New Roman"/>
          <w:sz w:val="20"/>
          <w:szCs w:val="20"/>
          <w:lang w:eastAsia="hr-HR"/>
        </w:rPr>
        <w:t xml:space="preserve">OPĆINA VINICA                                         </w:t>
      </w:r>
    </w:p>
    <w:p w:rsidR="00C561C4" w:rsidRPr="00C561C4" w:rsidRDefault="00C561C4" w:rsidP="00C561C4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561C4" w:rsidRPr="00C561C4" w:rsidRDefault="00C561C4" w:rsidP="00C561C4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>RAZINA:</w:t>
      </w:r>
      <w:proofErr w:type="spellStart"/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>23</w:t>
      </w:r>
      <w:proofErr w:type="spellEnd"/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Naziv obveznika:</w:t>
      </w:r>
    </w:p>
    <w:p w:rsidR="00C561C4" w:rsidRPr="00C561C4" w:rsidRDefault="00C561C4" w:rsidP="00C561C4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>RKP</w:t>
      </w:r>
      <w:proofErr w:type="spellEnd"/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  <w:proofErr w:type="spellStart"/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>31286</w:t>
      </w:r>
      <w:proofErr w:type="spellEnd"/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OPĆINA VINICA </w:t>
      </w:r>
    </w:p>
    <w:p w:rsidR="00EB02E1" w:rsidRPr="00D17D16" w:rsidRDefault="00C561C4" w:rsidP="00C56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 xml:space="preserve">OIB: </w:t>
      </w:r>
      <w:proofErr w:type="spellStart"/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>19913793314</w:t>
      </w:r>
      <w:proofErr w:type="spellEnd"/>
      <w:r w:rsidRPr="00C561C4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</w:t>
      </w:r>
    </w:p>
    <w:p w:rsidR="00C561C4" w:rsidRDefault="00C561C4" w:rsidP="0045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1C4" w:rsidRDefault="00C561C4" w:rsidP="0045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770F" w:rsidRPr="00D17D16" w:rsidRDefault="0045770F" w:rsidP="0045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D16">
        <w:rPr>
          <w:rFonts w:ascii="Times New Roman" w:hAnsi="Times New Roman"/>
          <w:b/>
          <w:sz w:val="24"/>
          <w:szCs w:val="24"/>
        </w:rPr>
        <w:t>BILJEŠKE</w:t>
      </w:r>
    </w:p>
    <w:p w:rsidR="0045770F" w:rsidRPr="00D17D16" w:rsidRDefault="0045770F" w:rsidP="00457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D16">
        <w:rPr>
          <w:rFonts w:ascii="Times New Roman" w:hAnsi="Times New Roman"/>
          <w:b/>
          <w:sz w:val="24"/>
          <w:szCs w:val="24"/>
        </w:rPr>
        <w:t xml:space="preserve">UZ  </w:t>
      </w:r>
      <w:r>
        <w:rPr>
          <w:rFonts w:ascii="Times New Roman" w:hAnsi="Times New Roman"/>
          <w:b/>
          <w:sz w:val="24"/>
          <w:szCs w:val="24"/>
        </w:rPr>
        <w:t xml:space="preserve">KONSOLIDIRANE </w:t>
      </w:r>
      <w:r w:rsidRPr="00D17D16">
        <w:rPr>
          <w:rFonts w:ascii="Times New Roman" w:hAnsi="Times New Roman"/>
          <w:b/>
          <w:sz w:val="24"/>
          <w:szCs w:val="24"/>
        </w:rPr>
        <w:t>FINANCIJSKE IZVJEŠTAJE ZA 202</w:t>
      </w:r>
      <w:r>
        <w:rPr>
          <w:rFonts w:ascii="Times New Roman" w:hAnsi="Times New Roman"/>
          <w:b/>
          <w:sz w:val="24"/>
          <w:szCs w:val="24"/>
        </w:rPr>
        <w:t>3</w:t>
      </w:r>
      <w:r w:rsidRPr="00D17D16">
        <w:rPr>
          <w:rFonts w:ascii="Times New Roman" w:hAnsi="Times New Roman"/>
          <w:b/>
          <w:sz w:val="24"/>
          <w:szCs w:val="24"/>
        </w:rPr>
        <w:t>. GODINU</w:t>
      </w:r>
    </w:p>
    <w:p w:rsidR="0045770F" w:rsidRPr="00D17D16" w:rsidRDefault="0045770F" w:rsidP="0045770F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5770F" w:rsidRPr="00D17D16" w:rsidRDefault="0045770F" w:rsidP="0045770F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5770F" w:rsidRPr="00897449" w:rsidRDefault="0045770F" w:rsidP="0045770F">
      <w:pPr>
        <w:pStyle w:val="Bezproreda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897449">
        <w:rPr>
          <w:rFonts w:ascii="Times New Roman" w:hAnsi="Times New Roman" w:cs="Times New Roman"/>
          <w:sz w:val="24"/>
          <w:szCs w:val="24"/>
        </w:rPr>
        <w:t xml:space="preserve">Proces konsolidacije, priprema i predaja konsolidiranih financijskih izvješća propisani su Zakonom o proračunu („Narodne novine“ broj </w:t>
      </w:r>
      <w:r w:rsidR="00327B73">
        <w:rPr>
          <w:rFonts w:ascii="Times New Roman" w:hAnsi="Times New Roman" w:cs="Times New Roman"/>
          <w:sz w:val="24"/>
          <w:szCs w:val="24"/>
        </w:rPr>
        <w:t>144/21</w:t>
      </w:r>
      <w:r w:rsidRPr="00897449">
        <w:rPr>
          <w:rFonts w:ascii="Times New Roman" w:hAnsi="Times New Roman" w:cs="Times New Roman"/>
          <w:sz w:val="24"/>
          <w:szCs w:val="24"/>
        </w:rPr>
        <w:t>) te Pravilnikom o financijskom izvještavanju u proračunskom računovodstvu („Narodne novine“ broj 3/15, 93/15, 135/15, 2/17, 28/17, 112/18,126/19, 145/20, 32/21 i 144/21). Pripadnost proračunskih korisnika određenom proračunu utvrđena je Pravilnikom o utvrđivanju proračunskih i izvanproračunskih korisnika državnog i proračunskih i izvanproračunskih korisnika proračuna JLIP(R) samouprave te o načinu vođenja registra proračunskih i izvanproračunskih korisnika („Narodne novine“ broj 128/09, 142/14, 23/19, 83/21 i 144/21).</w:t>
      </w:r>
    </w:p>
    <w:p w:rsidR="0045770F" w:rsidRPr="00897449" w:rsidRDefault="00C561C4" w:rsidP="00457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Vinica</w:t>
      </w:r>
      <w:r w:rsidR="0045770F" w:rsidRPr="00897449">
        <w:rPr>
          <w:rFonts w:ascii="Times New Roman" w:hAnsi="Times New Roman"/>
          <w:sz w:val="24"/>
          <w:szCs w:val="24"/>
        </w:rPr>
        <w:t xml:space="preserve"> ima jednog proračunskog korisnika i to</w:t>
      </w:r>
      <w:r w:rsidR="0045770F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Dječji vrtić Vinica</w:t>
      </w:r>
      <w:r w:rsidR="0045770F" w:rsidRPr="00897449">
        <w:rPr>
          <w:rFonts w:ascii="Times New Roman" w:hAnsi="Times New Roman"/>
          <w:sz w:val="24"/>
          <w:szCs w:val="24"/>
        </w:rPr>
        <w:t>. U konsolidiranom financijskom izvj</w:t>
      </w:r>
      <w:r>
        <w:rPr>
          <w:rFonts w:ascii="Times New Roman" w:hAnsi="Times New Roman"/>
          <w:sz w:val="24"/>
          <w:szCs w:val="24"/>
        </w:rPr>
        <w:t>eštaju prikazuje se poslovanje Općine Vinica</w:t>
      </w:r>
      <w:r w:rsidR="0045770F" w:rsidRPr="00897449">
        <w:rPr>
          <w:rFonts w:ascii="Times New Roman" w:hAnsi="Times New Roman"/>
          <w:sz w:val="24"/>
          <w:szCs w:val="24"/>
        </w:rPr>
        <w:t xml:space="preserve"> zajedno sa njenim ko</w:t>
      </w:r>
      <w:r>
        <w:rPr>
          <w:rFonts w:ascii="Times New Roman" w:hAnsi="Times New Roman"/>
          <w:sz w:val="24"/>
          <w:szCs w:val="24"/>
        </w:rPr>
        <w:t>risnikom dječjim vrtićom Vinica</w:t>
      </w:r>
      <w:r w:rsidR="0045770F" w:rsidRPr="00897449">
        <w:rPr>
          <w:rFonts w:ascii="Times New Roman" w:hAnsi="Times New Roman"/>
          <w:sz w:val="24"/>
          <w:szCs w:val="24"/>
        </w:rPr>
        <w:t xml:space="preserve"> na način da se sagledaju kao jedna jedinstvena cjelina.</w:t>
      </w:r>
    </w:p>
    <w:p w:rsidR="0045770F" w:rsidRPr="00897449" w:rsidRDefault="0045770F" w:rsidP="00457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70F" w:rsidRPr="00D17D16" w:rsidRDefault="0045770F" w:rsidP="00AF3A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7449">
        <w:rPr>
          <w:rFonts w:ascii="Times New Roman" w:hAnsi="Times New Roman"/>
          <w:sz w:val="24"/>
          <w:szCs w:val="24"/>
        </w:rPr>
        <w:t>U procesu konsolidacije eliminirani su prihodi iskazani kod proračunskog korisnika na kontu 671 Prihodi iz nadležnog proračuna za financiranje redovne djelatnosti proračunskih korisnik</w:t>
      </w:r>
      <w:r w:rsidR="00C561C4">
        <w:rPr>
          <w:rFonts w:ascii="Times New Roman" w:hAnsi="Times New Roman"/>
          <w:sz w:val="24"/>
          <w:szCs w:val="24"/>
        </w:rPr>
        <w:t>a te rashodi kod Općine Vinica</w:t>
      </w:r>
      <w:r w:rsidRPr="00897449">
        <w:rPr>
          <w:rFonts w:ascii="Times New Roman" w:hAnsi="Times New Roman"/>
          <w:sz w:val="24"/>
          <w:szCs w:val="24"/>
        </w:rPr>
        <w:t xml:space="preserve"> na kontu 367 Prijenosi proračunskim korisnicima iz nadležnog proračuna za f</w:t>
      </w:r>
      <w:r w:rsidR="00AF3A56">
        <w:rPr>
          <w:rFonts w:ascii="Times New Roman" w:hAnsi="Times New Roman"/>
          <w:sz w:val="24"/>
          <w:szCs w:val="24"/>
        </w:rPr>
        <w:t>inanciranje redovne djelatnosti.</w:t>
      </w:r>
    </w:p>
    <w:p w:rsidR="00327B73" w:rsidRPr="00D17D16" w:rsidRDefault="00327B73" w:rsidP="0045770F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43567" w:rsidRPr="00D17D16" w:rsidRDefault="00943567" w:rsidP="00D17D16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E14AE" w:rsidRPr="0032642F" w:rsidRDefault="000E14AE" w:rsidP="00D17D16">
      <w:pPr>
        <w:pStyle w:val="Odlomakpopisa"/>
        <w:keepNext/>
        <w:numPr>
          <w:ilvl w:val="0"/>
          <w:numId w:val="12"/>
        </w:numPr>
        <w:suppressAutoHyphens w:val="0"/>
        <w:overflowPunct w:val="0"/>
        <w:autoSpaceDE w:val="0"/>
        <w:autoSpaceDN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</w:pPr>
      <w:proofErr w:type="spellStart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Bilje</w:t>
      </w:r>
      <w:proofErr w:type="spellEnd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>š</w:t>
      </w:r>
      <w:proofErr w:type="spellStart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ke</w:t>
      </w:r>
      <w:proofErr w:type="spellEnd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 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uz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 </w:t>
      </w:r>
      <w:proofErr w:type="spellStart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Izvje</w:t>
      </w:r>
      <w:proofErr w:type="spellEnd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>š</w:t>
      </w:r>
      <w:proofErr w:type="spellStart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taj</w:t>
      </w:r>
      <w:proofErr w:type="spellEnd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 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o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 </w:t>
      </w:r>
      <w:proofErr w:type="spellStart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prihodima</w:t>
      </w:r>
      <w:proofErr w:type="spellEnd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 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i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 </w:t>
      </w:r>
      <w:proofErr w:type="spellStart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rashodima</w:t>
      </w:r>
      <w:proofErr w:type="spellEnd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, </w:t>
      </w:r>
      <w:proofErr w:type="spellStart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primicima</w:t>
      </w:r>
      <w:proofErr w:type="spellEnd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 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i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hr-HR"/>
        </w:rPr>
        <w:t xml:space="preserve"> </w:t>
      </w:r>
      <w:proofErr w:type="spellStart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izdacima</w:t>
      </w:r>
      <w:proofErr w:type="spellEnd"/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 xml:space="preserve"> (</w:t>
      </w:r>
      <w:proofErr w:type="spellStart"/>
      <w:r w:rsidR="00F37422"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Obrazac</w:t>
      </w:r>
      <w:proofErr w:type="spellEnd"/>
      <w:r w:rsidR="00F37422"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 xml:space="preserve">: </w:t>
      </w:r>
      <w:r w:rsidRPr="0032642F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en-US" w:eastAsia="hr-HR"/>
        </w:rPr>
        <w:t>PR-RAS)</w:t>
      </w:r>
    </w:p>
    <w:p w:rsidR="00AD7609" w:rsidRPr="0032642F" w:rsidRDefault="00AD7609" w:rsidP="00D17D16">
      <w:pPr>
        <w:keepNext/>
        <w:suppressAutoHyphens w:val="0"/>
        <w:autoSpaceDN/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5370" w:rsidRPr="0032642F" w:rsidRDefault="002411AD" w:rsidP="00D17D16">
      <w:pPr>
        <w:keepNext/>
        <w:suppressAutoHyphens w:val="0"/>
        <w:autoSpaceDN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32642F">
        <w:rPr>
          <w:rFonts w:ascii="Times New Roman" w:eastAsia="Times New Roman" w:hAnsi="Times New Roman"/>
          <w:sz w:val="24"/>
          <w:szCs w:val="24"/>
          <w:lang w:eastAsia="hr-HR"/>
        </w:rPr>
        <w:t>U bilješkama uz Izvještaj o prihodima i rashodima, primicima i izdacima navode se razlozi značajnijih odstupanja od ostvarenja prethodne godine.</w:t>
      </w:r>
    </w:p>
    <w:p w:rsidR="00261E3C" w:rsidRPr="00601DAB" w:rsidRDefault="00261E3C" w:rsidP="00D17D16">
      <w:pPr>
        <w:keepNext/>
        <w:suppressAutoHyphens w:val="0"/>
        <w:autoSpaceDN/>
        <w:spacing w:after="0" w:line="240" w:lineRule="auto"/>
        <w:jc w:val="both"/>
        <w:outlineLvl w:val="1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261E3C" w:rsidRPr="005960B8" w:rsidRDefault="00AD7609" w:rsidP="00D17D16">
      <w:pPr>
        <w:pStyle w:val="Odlomakpopisa"/>
        <w:keepNext/>
        <w:numPr>
          <w:ilvl w:val="1"/>
          <w:numId w:val="15"/>
        </w:numPr>
        <w:suppressAutoHyphens w:val="0"/>
        <w:autoSpaceDN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960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PRIHODI </w:t>
      </w:r>
      <w:r w:rsidR="00C96DBA" w:rsidRPr="005960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I PRIMICI </w:t>
      </w:r>
    </w:p>
    <w:p w:rsidR="00884FFC" w:rsidRPr="00601DAB" w:rsidRDefault="00884FFC" w:rsidP="00D17D16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</w:pPr>
    </w:p>
    <w:p w:rsidR="00884FFC" w:rsidRPr="005960B8" w:rsidRDefault="00884FFC" w:rsidP="00D17D16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960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Bilješka broj 1, </w:t>
      </w:r>
      <w:r w:rsidR="0032642F" w:rsidRPr="005960B8">
        <w:rPr>
          <w:rFonts w:ascii="Times New Roman" w:eastAsia="Times New Roman" w:hAnsi="Times New Roman"/>
          <w:b/>
          <w:sz w:val="24"/>
          <w:szCs w:val="24"/>
          <w:lang w:eastAsia="hr-HR"/>
        </w:rPr>
        <w:t>šifra 6</w:t>
      </w:r>
    </w:p>
    <w:p w:rsidR="00884FFC" w:rsidRPr="00601DAB" w:rsidRDefault="00884FFC" w:rsidP="00D17D16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</w:pPr>
    </w:p>
    <w:p w:rsidR="00AD7609" w:rsidRPr="005960B8" w:rsidRDefault="00AD7609" w:rsidP="00D17D16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960B8">
        <w:rPr>
          <w:rFonts w:ascii="Times New Roman" w:eastAsia="Times New Roman" w:hAnsi="Times New Roman"/>
          <w:sz w:val="24"/>
          <w:szCs w:val="24"/>
          <w:lang w:eastAsia="hr-HR"/>
        </w:rPr>
        <w:t>Prihodi</w:t>
      </w:r>
      <w:r w:rsidR="00DF60CC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 poslovanja</w:t>
      </w:r>
      <w:r w:rsidR="00884FFC" w:rsidRPr="005960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DF60CC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r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 izvještajno</w:t>
      </w:r>
      <w:r w:rsidR="00DF60CC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m </w:t>
      </w:r>
      <w:r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 razdoblj</w:t>
      </w:r>
      <w:r w:rsidR="00DF60CC" w:rsidRPr="005960B8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 ostvareni su u iznosu od </w:t>
      </w:r>
      <w:r w:rsidR="007709DB">
        <w:rPr>
          <w:rFonts w:ascii="Times New Roman" w:eastAsia="Times New Roman" w:hAnsi="Times New Roman"/>
          <w:sz w:val="24"/>
          <w:szCs w:val="24"/>
          <w:lang w:eastAsia="hr-HR"/>
        </w:rPr>
        <w:t>1.446.018</w:t>
      </w:r>
      <w:r w:rsidR="00AF3A56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proofErr w:type="spellStart"/>
      <w:r w:rsidR="00AF3A56">
        <w:rPr>
          <w:rFonts w:ascii="Times New Roman" w:eastAsia="Times New Roman" w:hAnsi="Times New Roman"/>
          <w:sz w:val="24"/>
          <w:szCs w:val="24"/>
          <w:lang w:eastAsia="hr-HR"/>
        </w:rPr>
        <w:t>56</w:t>
      </w:r>
      <w:proofErr w:type="spellEnd"/>
      <w:r w:rsidR="001B354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1B3543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="00DF60CC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5960B8">
        <w:rPr>
          <w:rFonts w:ascii="Times New Roman" w:eastAsia="Times New Roman" w:hAnsi="Times New Roman"/>
          <w:sz w:val="24"/>
          <w:szCs w:val="24"/>
          <w:lang w:eastAsia="hr-HR"/>
        </w:rPr>
        <w:t>što</w:t>
      </w:r>
      <w:r w:rsidR="00DF60CC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 je </w:t>
      </w:r>
      <w:r w:rsidR="00AF3A56">
        <w:rPr>
          <w:rFonts w:ascii="Times New Roman" w:eastAsia="Times New Roman" w:hAnsi="Times New Roman"/>
          <w:sz w:val="24"/>
          <w:szCs w:val="24"/>
          <w:lang w:eastAsia="hr-HR"/>
        </w:rPr>
        <w:t>2,1</w:t>
      </w:r>
      <w:r w:rsidR="007F02BF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% </w:t>
      </w:r>
      <w:r w:rsidR="00DF60CC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A4A09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više </w:t>
      </w:r>
      <w:r w:rsidR="00DF60CC" w:rsidRPr="005960B8">
        <w:rPr>
          <w:rFonts w:ascii="Times New Roman" w:eastAsia="Times New Roman" w:hAnsi="Times New Roman"/>
          <w:sz w:val="24"/>
          <w:szCs w:val="24"/>
          <w:lang w:eastAsia="hr-HR"/>
        </w:rPr>
        <w:t xml:space="preserve">u odnosu na </w:t>
      </w:r>
      <w:r w:rsidRPr="005960B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261E3C" w:rsidRPr="005960B8">
        <w:rPr>
          <w:rFonts w:ascii="Times New Roman" w:eastAsia="Times New Roman" w:hAnsi="Times New Roman"/>
          <w:bCs/>
          <w:sz w:val="24"/>
          <w:szCs w:val="24"/>
          <w:lang w:eastAsia="hr-HR"/>
        </w:rPr>
        <w:t>prethodnu proračunsku</w:t>
      </w:r>
      <w:r w:rsidRPr="005960B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2958A8" w:rsidRPr="005960B8">
        <w:rPr>
          <w:rFonts w:ascii="Times New Roman" w:eastAsia="Times New Roman" w:hAnsi="Times New Roman"/>
          <w:bCs/>
          <w:sz w:val="24"/>
          <w:szCs w:val="24"/>
          <w:lang w:eastAsia="hr-HR"/>
        </w:rPr>
        <w:t>g</w:t>
      </w:r>
      <w:r w:rsidRPr="005960B8">
        <w:rPr>
          <w:rFonts w:ascii="Times New Roman" w:eastAsia="Times New Roman" w:hAnsi="Times New Roman"/>
          <w:bCs/>
          <w:sz w:val="24"/>
          <w:szCs w:val="24"/>
          <w:lang w:eastAsia="hr-HR"/>
        </w:rPr>
        <w:t>odinu</w:t>
      </w:r>
      <w:r w:rsidR="00261E3C" w:rsidRPr="005960B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</w:t>
      </w:r>
    </w:p>
    <w:p w:rsidR="00AF3A56" w:rsidRPr="00AF3A56" w:rsidRDefault="00AF3A56" w:rsidP="00AF3A56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Značajnije razlike u odnosu na isto izvještajno razdoblje prethodne godine, na skupini 61 odnose se na povećanje prihoda od poreza na dohodak za 13,2%, ali također i povećanje iznosa za povrat poreza i prireza po godišnjoj poreznoj prijavi od 40,7% u odnosu na isto razdoblje prethodne godine, a što je knjiženo prema izvješću FINE.</w:t>
      </w:r>
    </w:p>
    <w:p w:rsidR="00AF3A56" w:rsidRPr="00AF3A56" w:rsidRDefault="00AF3A56" w:rsidP="00AF3A56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Skupina računa 63 bilježi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smanjenje od 10,9</w:t>
      </w: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 % u odnosu na isto izvještajno razdoblje prethodne godine i </w:t>
      </w:r>
      <w:r w:rsidR="00657F3A">
        <w:rPr>
          <w:rFonts w:ascii="Times New Roman" w:eastAsia="Times New Roman" w:hAnsi="Times New Roman"/>
          <w:sz w:val="24"/>
          <w:szCs w:val="24"/>
          <w:lang w:eastAsia="hr-HR"/>
        </w:rPr>
        <w:t>to uglavnom zbog smanjenja na računu Kapitalne pomoći proračunu iz drugih proračuna.</w:t>
      </w:r>
    </w:p>
    <w:p w:rsidR="00AF3A56" w:rsidRPr="00AF3A56" w:rsidRDefault="00AF3A56" w:rsidP="00AF3A56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Skupina konta </w:t>
      </w:r>
      <w:proofErr w:type="spellStart"/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>64</w:t>
      </w:r>
      <w:proofErr w:type="spellEnd"/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 obuhvaća prihode od zakupa i iznajmljivanja imovine, prihode od legalizacije i spomeničku rentu, a ostvareni su u iznosu od </w:t>
      </w:r>
      <w:proofErr w:type="spellStart"/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>39.086</w:t>
      </w:r>
      <w:proofErr w:type="spellEnd"/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>,12 €, odnosno 14,3% manje u odnosu na isto razdoblje prethodne godine.</w:t>
      </w:r>
    </w:p>
    <w:p w:rsidR="00AF3A56" w:rsidRPr="00AF3A56" w:rsidRDefault="00AF3A56" w:rsidP="00AF3A56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>Sk</w:t>
      </w:r>
      <w:r w:rsidR="00657F3A">
        <w:rPr>
          <w:rFonts w:ascii="Times New Roman" w:eastAsia="Times New Roman" w:hAnsi="Times New Roman"/>
          <w:sz w:val="24"/>
          <w:szCs w:val="24"/>
          <w:lang w:eastAsia="hr-HR"/>
        </w:rPr>
        <w:t xml:space="preserve">upina </w:t>
      </w:r>
      <w:proofErr w:type="spellStart"/>
      <w:r w:rsidR="00657F3A">
        <w:rPr>
          <w:rFonts w:ascii="Times New Roman" w:eastAsia="Times New Roman" w:hAnsi="Times New Roman"/>
          <w:sz w:val="24"/>
          <w:szCs w:val="24"/>
          <w:lang w:eastAsia="hr-HR"/>
        </w:rPr>
        <w:t>65</w:t>
      </w:r>
      <w:proofErr w:type="spellEnd"/>
      <w:r w:rsidR="00657F3A">
        <w:rPr>
          <w:rFonts w:ascii="Times New Roman" w:eastAsia="Times New Roman" w:hAnsi="Times New Roman"/>
          <w:sz w:val="24"/>
          <w:szCs w:val="24"/>
          <w:lang w:eastAsia="hr-HR"/>
        </w:rPr>
        <w:t xml:space="preserve"> bilježi povećanje od 15,5</w:t>
      </w: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% koje se uglavnom odnosi na prihode po posebnim propisima, tj. </w:t>
      </w:r>
      <w:proofErr w:type="spellStart"/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>ošasnu</w:t>
      </w:r>
      <w:proofErr w:type="spellEnd"/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 imovinu.</w:t>
      </w:r>
    </w:p>
    <w:p w:rsidR="00AF3A56" w:rsidRDefault="00AF3A56" w:rsidP="00AF3A56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>Skupina 66 Prihodi od prodaje proizvoda i robe te pruženih usluga, prihodi od donacija te povrati po protestir</w:t>
      </w:r>
      <w:r w:rsidR="00944DDB">
        <w:rPr>
          <w:rFonts w:ascii="Times New Roman" w:eastAsia="Times New Roman" w:hAnsi="Times New Roman"/>
          <w:sz w:val="24"/>
          <w:szCs w:val="24"/>
          <w:lang w:eastAsia="hr-HR"/>
        </w:rPr>
        <w:t xml:space="preserve">anim jamstvima ostvareni su </w:t>
      </w:r>
      <w:proofErr w:type="spellStart"/>
      <w:r w:rsidR="00944DDB">
        <w:rPr>
          <w:rFonts w:ascii="Times New Roman" w:eastAsia="Times New Roman" w:hAnsi="Times New Roman"/>
          <w:sz w:val="24"/>
          <w:szCs w:val="24"/>
          <w:lang w:eastAsia="hr-HR"/>
        </w:rPr>
        <w:t>49</w:t>
      </w:r>
      <w:proofErr w:type="spellEnd"/>
      <w:r w:rsidR="00944DDB">
        <w:rPr>
          <w:rFonts w:ascii="Times New Roman" w:eastAsia="Times New Roman" w:hAnsi="Times New Roman"/>
          <w:sz w:val="24"/>
          <w:szCs w:val="24"/>
          <w:lang w:eastAsia="hr-HR"/>
        </w:rPr>
        <w:t>,5</w:t>
      </w: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 % više nego prethodne godine i to uglavnom zbog prihoda od prikupljenih donacija za Martinje i Advent.</w:t>
      </w:r>
    </w:p>
    <w:p w:rsidR="00944DDB" w:rsidRPr="00067C75" w:rsidRDefault="007709DB" w:rsidP="00944DDB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Skupina 68</w:t>
      </w:r>
      <w:r w:rsidR="00944DD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44DDB" w:rsidRPr="00067C75">
        <w:rPr>
          <w:rFonts w:ascii="Times New Roman" w:eastAsia="Times New Roman" w:hAnsi="Times New Roman"/>
          <w:sz w:val="24"/>
          <w:szCs w:val="24"/>
          <w:lang w:eastAsia="hr-HR"/>
        </w:rPr>
        <w:t xml:space="preserve">Kazne, upravne mjere i ostali prihodi ostvareni su u iznosu od </w:t>
      </w:r>
      <w:proofErr w:type="spellStart"/>
      <w:r w:rsidR="00944DDB">
        <w:rPr>
          <w:rFonts w:ascii="Times New Roman" w:eastAsia="Times New Roman" w:hAnsi="Times New Roman"/>
          <w:sz w:val="24"/>
          <w:szCs w:val="24"/>
          <w:lang w:eastAsia="hr-HR"/>
        </w:rPr>
        <w:t>159</w:t>
      </w:r>
      <w:proofErr w:type="spellEnd"/>
      <w:r w:rsidR="00944DDB">
        <w:rPr>
          <w:rFonts w:ascii="Times New Roman" w:eastAsia="Times New Roman" w:hAnsi="Times New Roman"/>
          <w:sz w:val="24"/>
          <w:szCs w:val="24"/>
          <w:lang w:eastAsia="hr-HR"/>
        </w:rPr>
        <w:t xml:space="preserve">,00 </w:t>
      </w:r>
      <w:proofErr w:type="spellStart"/>
      <w:r w:rsidR="00944DDB">
        <w:rPr>
          <w:rFonts w:ascii="Times New Roman" w:eastAsia="Times New Roman" w:hAnsi="Times New Roman"/>
          <w:sz w:val="24"/>
          <w:szCs w:val="24"/>
          <w:lang w:eastAsia="hr-HR"/>
        </w:rPr>
        <w:t>eur</w:t>
      </w:r>
      <w:proofErr w:type="spellEnd"/>
      <w:r w:rsidR="00944DDB" w:rsidRPr="00067C7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44DDB">
        <w:rPr>
          <w:rFonts w:ascii="Times New Roman" w:eastAsia="Times New Roman" w:hAnsi="Times New Roman"/>
          <w:sz w:val="24"/>
          <w:szCs w:val="24"/>
          <w:lang w:eastAsia="hr-HR"/>
        </w:rPr>
        <w:t>dok u istom razdoblju prethodne godine nije bilo ostvarene ove vrste prihoda.</w:t>
      </w:r>
    </w:p>
    <w:p w:rsidR="00944DDB" w:rsidRPr="00AF3A56" w:rsidRDefault="00944DDB" w:rsidP="00AF3A56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F3A56" w:rsidRPr="00AF3A56" w:rsidRDefault="00AF3A56" w:rsidP="00AF3A56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Prihodi od prodaje nefinancijske imovine (7) u 2023. ukupno iznose </w:t>
      </w:r>
      <w:proofErr w:type="spellStart"/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>6.594</w:t>
      </w:r>
      <w:proofErr w:type="spellEnd"/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proofErr w:type="spellStart"/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>42</w:t>
      </w:r>
      <w:proofErr w:type="spellEnd"/>
      <w:r w:rsidRPr="00AF3A56">
        <w:rPr>
          <w:rFonts w:ascii="Times New Roman" w:eastAsia="Times New Roman" w:hAnsi="Times New Roman"/>
          <w:sz w:val="24"/>
          <w:szCs w:val="24"/>
          <w:lang w:eastAsia="hr-HR"/>
        </w:rPr>
        <w:t xml:space="preserve"> € i odnose se na prodaju općinski stanova.</w:t>
      </w:r>
    </w:p>
    <w:p w:rsidR="00AF3A56" w:rsidRDefault="00AF3A56" w:rsidP="00D17D16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F3A56" w:rsidRPr="005960B8" w:rsidRDefault="00AF3A56" w:rsidP="00D17D16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F1EB3" w:rsidRPr="006C4747" w:rsidRDefault="006F1EB3" w:rsidP="00D17D16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945F7" w:rsidRPr="006C4747" w:rsidRDefault="00944DDB" w:rsidP="00D17D16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Bilješka 2.</w:t>
      </w:r>
    </w:p>
    <w:p w:rsidR="00943567" w:rsidRPr="00601DAB" w:rsidRDefault="00943567" w:rsidP="00D17D16">
      <w:pPr>
        <w:widowControl w:val="0"/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844D19" w:rsidRPr="00944DDB" w:rsidRDefault="002958A8" w:rsidP="00944D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4DDB">
        <w:rPr>
          <w:rFonts w:ascii="Times New Roman" w:hAnsi="Times New Roman"/>
          <w:b/>
          <w:sz w:val="24"/>
          <w:szCs w:val="24"/>
        </w:rPr>
        <w:t xml:space="preserve"> </w:t>
      </w:r>
      <w:r w:rsidR="00844D19" w:rsidRPr="00944DDB">
        <w:rPr>
          <w:rFonts w:ascii="Times New Roman" w:hAnsi="Times New Roman"/>
          <w:b/>
          <w:sz w:val="24"/>
          <w:szCs w:val="24"/>
        </w:rPr>
        <w:t>RASHODI</w:t>
      </w:r>
      <w:r w:rsidR="008945F7" w:rsidRPr="00944DDB">
        <w:rPr>
          <w:rFonts w:ascii="Times New Roman" w:hAnsi="Times New Roman"/>
          <w:b/>
          <w:sz w:val="24"/>
          <w:szCs w:val="24"/>
        </w:rPr>
        <w:t xml:space="preserve"> I IZDACI</w:t>
      </w:r>
    </w:p>
    <w:p w:rsidR="00703EE2" w:rsidRPr="00F76226" w:rsidRDefault="00703EE2" w:rsidP="00D17D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4D19" w:rsidRPr="00F76226" w:rsidRDefault="00844D19" w:rsidP="00D1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226">
        <w:rPr>
          <w:rFonts w:ascii="Times New Roman" w:hAnsi="Times New Roman"/>
          <w:sz w:val="24"/>
          <w:szCs w:val="24"/>
        </w:rPr>
        <w:t>Rashodi poslo</w:t>
      </w:r>
      <w:r w:rsidR="002958A8" w:rsidRPr="00F76226">
        <w:rPr>
          <w:rFonts w:ascii="Times New Roman" w:hAnsi="Times New Roman"/>
          <w:sz w:val="24"/>
          <w:szCs w:val="24"/>
        </w:rPr>
        <w:t xml:space="preserve">vanja za izvještajno razdoblje </w:t>
      </w:r>
      <w:r w:rsidRPr="00F76226">
        <w:rPr>
          <w:rFonts w:ascii="Times New Roman" w:hAnsi="Times New Roman"/>
          <w:sz w:val="24"/>
          <w:szCs w:val="24"/>
        </w:rPr>
        <w:t xml:space="preserve">ostvareni su u iznosu od </w:t>
      </w:r>
      <w:r w:rsidR="00944DDB">
        <w:rPr>
          <w:rFonts w:ascii="Times New Roman" w:hAnsi="Times New Roman"/>
          <w:sz w:val="24"/>
          <w:szCs w:val="24"/>
        </w:rPr>
        <w:t>1.304.144,</w:t>
      </w:r>
      <w:proofErr w:type="spellStart"/>
      <w:r w:rsidR="00944DDB">
        <w:rPr>
          <w:rFonts w:ascii="Times New Roman" w:hAnsi="Times New Roman"/>
          <w:sz w:val="24"/>
          <w:szCs w:val="24"/>
        </w:rPr>
        <w:t>97</w:t>
      </w:r>
      <w:proofErr w:type="spellEnd"/>
      <w:r w:rsidR="00C64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83B">
        <w:rPr>
          <w:rFonts w:ascii="Times New Roman" w:hAnsi="Times New Roman"/>
          <w:sz w:val="24"/>
          <w:szCs w:val="24"/>
        </w:rPr>
        <w:t>eur</w:t>
      </w:r>
      <w:proofErr w:type="spellEnd"/>
      <w:r w:rsidR="008E0022" w:rsidRPr="00F76226">
        <w:rPr>
          <w:rFonts w:ascii="Times New Roman" w:hAnsi="Times New Roman"/>
          <w:sz w:val="24"/>
          <w:szCs w:val="24"/>
        </w:rPr>
        <w:t xml:space="preserve"> što je </w:t>
      </w:r>
      <w:r w:rsidR="00C6483B">
        <w:rPr>
          <w:rFonts w:ascii="Times New Roman" w:hAnsi="Times New Roman"/>
          <w:sz w:val="24"/>
          <w:szCs w:val="24"/>
        </w:rPr>
        <w:t xml:space="preserve"> za </w:t>
      </w:r>
      <w:r w:rsidR="007709DB">
        <w:rPr>
          <w:rFonts w:ascii="Times New Roman" w:hAnsi="Times New Roman"/>
          <w:sz w:val="24"/>
          <w:szCs w:val="24"/>
        </w:rPr>
        <w:t>8,7</w:t>
      </w:r>
      <w:r w:rsidR="00C6483B">
        <w:rPr>
          <w:rFonts w:ascii="Times New Roman" w:hAnsi="Times New Roman"/>
          <w:sz w:val="24"/>
          <w:szCs w:val="24"/>
        </w:rPr>
        <w:t xml:space="preserve"> %</w:t>
      </w:r>
      <w:r w:rsidR="00DE569F" w:rsidRPr="00F76226">
        <w:rPr>
          <w:rFonts w:ascii="Times New Roman" w:hAnsi="Times New Roman"/>
          <w:sz w:val="24"/>
          <w:szCs w:val="24"/>
        </w:rPr>
        <w:t xml:space="preserve"> </w:t>
      </w:r>
      <w:r w:rsidR="00944DDB">
        <w:rPr>
          <w:rFonts w:ascii="Times New Roman" w:hAnsi="Times New Roman"/>
          <w:sz w:val="24"/>
          <w:szCs w:val="24"/>
        </w:rPr>
        <w:t xml:space="preserve">više </w:t>
      </w:r>
      <w:r w:rsidR="008E0022" w:rsidRPr="00F76226">
        <w:rPr>
          <w:rFonts w:ascii="Times New Roman" w:hAnsi="Times New Roman"/>
          <w:sz w:val="24"/>
          <w:szCs w:val="24"/>
        </w:rPr>
        <w:t xml:space="preserve">u odnosu na </w:t>
      </w:r>
      <w:r w:rsidR="00703EE2" w:rsidRPr="00F76226">
        <w:rPr>
          <w:rFonts w:ascii="Times New Roman" w:hAnsi="Times New Roman"/>
          <w:sz w:val="24"/>
          <w:szCs w:val="24"/>
        </w:rPr>
        <w:t>prethodno izvještajno razdoblje</w:t>
      </w:r>
      <w:r w:rsidR="0058144F" w:rsidRPr="00F76226">
        <w:rPr>
          <w:rFonts w:ascii="Times New Roman" w:hAnsi="Times New Roman"/>
          <w:sz w:val="24"/>
          <w:szCs w:val="24"/>
        </w:rPr>
        <w:t>.</w:t>
      </w:r>
    </w:p>
    <w:p w:rsidR="0058144F" w:rsidRPr="00F76226" w:rsidRDefault="0058144F" w:rsidP="00D1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D19" w:rsidRPr="00F76226" w:rsidRDefault="00A93ACD" w:rsidP="00D17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Usporedba</w:t>
      </w:r>
      <w:r w:rsidR="00844D19" w:rsidRPr="00F76226">
        <w:rPr>
          <w:rFonts w:ascii="Times New Roman" w:hAnsi="Times New Roman"/>
          <w:sz w:val="24"/>
          <w:szCs w:val="24"/>
        </w:rPr>
        <w:t xml:space="preserve"> u odnosu na prethodnu </w:t>
      </w:r>
      <w:r w:rsidR="0058144F" w:rsidRPr="00F76226">
        <w:rPr>
          <w:rFonts w:ascii="Times New Roman" w:hAnsi="Times New Roman"/>
          <w:sz w:val="24"/>
          <w:szCs w:val="24"/>
        </w:rPr>
        <w:t>proračunsku</w:t>
      </w:r>
      <w:r>
        <w:rPr>
          <w:rFonts w:ascii="Times New Roman" w:hAnsi="Times New Roman"/>
          <w:sz w:val="24"/>
          <w:szCs w:val="24"/>
        </w:rPr>
        <w:t xml:space="preserve"> godinu je slijedeća</w:t>
      </w:r>
    </w:p>
    <w:p w:rsidR="00D37E20" w:rsidRPr="00601DAB" w:rsidRDefault="00D37E20" w:rsidP="00D17D1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93ACD" w:rsidRPr="00A93ACD" w:rsidRDefault="007A3EC3" w:rsidP="007A3EC3">
      <w:pPr>
        <w:suppressAutoHyphens w:val="0"/>
        <w:autoSpaceDN/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- skupina 31-</w:t>
      </w:r>
      <w:r w:rsidR="00A93ACD"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odnosi se na rashode za zaposlene (neto plaće, doprinose na plaću, darove i ostale rashode za zaposlene)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povećanje 2,8 %</w:t>
      </w:r>
    </w:p>
    <w:p w:rsidR="00A93ACD" w:rsidRPr="00A93ACD" w:rsidRDefault="00A93ACD" w:rsidP="00A93ACD">
      <w:pPr>
        <w:numPr>
          <w:ilvl w:val="1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Do razlike rashoda za zaposlene u odnosu na prošlu godinu došlo je zbog povećanja </w:t>
      </w:r>
      <w:r w:rsidR="007A3EC3">
        <w:rPr>
          <w:rFonts w:ascii="Times New Roman" w:eastAsia="Times New Roman" w:hAnsi="Times New Roman"/>
          <w:sz w:val="24"/>
          <w:szCs w:val="24"/>
          <w:lang w:eastAsia="hr-HR"/>
        </w:rPr>
        <w:t>osnovice kod Dječjeg vrtića Vinica</w:t>
      </w: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A93ACD" w:rsidRPr="00A93ACD" w:rsidRDefault="007A3EC3" w:rsidP="00A93ACD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skupina 32- </w:t>
      </w:r>
      <w:r w:rsidR="00A93ACD" w:rsidRPr="00A93ACD">
        <w:rPr>
          <w:rFonts w:ascii="Times New Roman" w:eastAsia="Times New Roman" w:hAnsi="Times New Roman"/>
          <w:sz w:val="24"/>
          <w:szCs w:val="24"/>
          <w:lang w:eastAsia="hr-HR"/>
        </w:rPr>
        <w:t>odnosi se na materijalne rashode koji obuhvaćaju naknade troškova zaposlenima, rashode za materijal i energiju (za uredski materijal, sredstva za čišćenje i održavanje, električnu energiju, radnu odjeću i obuću,), rashode za usluge (za zdravstvene usluge, računalne usluge, telefona, komunalne usluge,sitni inventar,) naknade troškova osobama izvan radnog odnosa te ostale 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espomenute rashode poslovanja, povećanje u odnosno na isto razdoblje protekle godine 13,1 %</w:t>
      </w:r>
    </w:p>
    <w:p w:rsidR="00A93ACD" w:rsidRPr="00A93ACD" w:rsidRDefault="00A93ACD" w:rsidP="00A93ACD">
      <w:pPr>
        <w:numPr>
          <w:ilvl w:val="1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>Do povećanja materijalnih rashoda i kod proračunskog korisnika Dječji vrtić Vinica i kod Općine Vinica došlo je u najvećoj mjeri radi povećanja cijene energenta i ostalih režijskih troškova</w:t>
      </w:r>
    </w:p>
    <w:p w:rsidR="00A93ACD" w:rsidRPr="00A93ACD" w:rsidRDefault="007A3EC3" w:rsidP="00A93ACD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skupina 34-</w:t>
      </w:r>
      <w:r w:rsidR="00A93ACD"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Financijski rashodi, a koji se odnose na bankarske usluge i usluge platnog prometa i zatezne kamate, u odnosu 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 prošlu godinu povećanje je  6%, a odnosi se na veće troškove za bankarske usluge</w:t>
      </w:r>
    </w:p>
    <w:p w:rsidR="00A93ACD" w:rsidRPr="00A93ACD" w:rsidRDefault="007A3EC3" w:rsidP="00A93ACD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skupina 35 -</w:t>
      </w:r>
      <w:r w:rsidR="00A93ACD"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Subvencije, u odnosu na isto razdobl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je prošle godine povećanje je 32,8 %</w:t>
      </w:r>
    </w:p>
    <w:p w:rsidR="00A93ACD" w:rsidRPr="00A93ACD" w:rsidRDefault="00A93ACD" w:rsidP="00DB189A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odnose se na subvencije trgovačkim društvima, zadrugama, poljoprivrednicima i obrtnicima izvan javnog sektora</w:t>
      </w:r>
      <w:r w:rsidR="00DB189A">
        <w:rPr>
          <w:rFonts w:ascii="Times New Roman" w:eastAsia="Times New Roman" w:hAnsi="Times New Roman"/>
          <w:sz w:val="24"/>
          <w:szCs w:val="24"/>
          <w:lang w:eastAsia="hr-HR"/>
        </w:rPr>
        <w:t xml:space="preserve"> i participacije roditelja </w:t>
      </w:r>
      <w:proofErr w:type="spellStart"/>
      <w:r w:rsidR="00DB189A">
        <w:rPr>
          <w:rFonts w:ascii="Times New Roman" w:eastAsia="Times New Roman" w:hAnsi="Times New Roman"/>
          <w:sz w:val="24"/>
          <w:szCs w:val="24"/>
          <w:lang w:eastAsia="hr-HR"/>
        </w:rPr>
        <w:t>DV</w:t>
      </w:r>
      <w:proofErr w:type="spellEnd"/>
      <w:r w:rsidR="00DB189A">
        <w:rPr>
          <w:rFonts w:ascii="Times New Roman" w:eastAsia="Times New Roman" w:hAnsi="Times New Roman"/>
          <w:sz w:val="24"/>
          <w:szCs w:val="24"/>
          <w:lang w:eastAsia="hr-HR"/>
        </w:rPr>
        <w:t xml:space="preserve"> Vinica, a povećanje je zbog </w:t>
      </w:r>
      <w:r w:rsidR="00DB189A" w:rsidRPr="00DB189A">
        <w:rPr>
          <w:rFonts w:ascii="Times New Roman" w:eastAsia="Times New Roman" w:hAnsi="Times New Roman"/>
          <w:sz w:val="24"/>
          <w:szCs w:val="24"/>
          <w:lang w:eastAsia="hr-HR"/>
        </w:rPr>
        <w:t>većeg broja odobrenih zahtjeva koji udovoljavaju kriterijima za dodjelu subvencija</w:t>
      </w:r>
      <w:r w:rsidR="00DB189A">
        <w:rPr>
          <w:rFonts w:ascii="Times New Roman" w:eastAsia="Times New Roman" w:hAnsi="Times New Roman"/>
          <w:sz w:val="24"/>
          <w:szCs w:val="24"/>
          <w:lang w:eastAsia="hr-HR"/>
        </w:rPr>
        <w:t xml:space="preserve"> i povećanja ekonomske cijene vrtića koja utječe na participaciju roditelja</w:t>
      </w:r>
    </w:p>
    <w:p w:rsidR="00A93ACD" w:rsidRPr="00A93ACD" w:rsidRDefault="00DB189A" w:rsidP="00A93ACD">
      <w:pPr>
        <w:suppressAutoHyphens w:val="0"/>
        <w:autoSpaceDN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  </w:t>
      </w:r>
      <w:r w:rsidR="00A93ACD" w:rsidRPr="00A93ACD">
        <w:rPr>
          <w:rFonts w:ascii="Times New Roman" w:eastAsia="Times New Roman" w:hAnsi="Times New Roman"/>
          <w:sz w:val="24"/>
          <w:szCs w:val="24"/>
          <w:lang w:eastAsia="hr-HR"/>
        </w:rPr>
        <w:t>skupina 36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="00A93ACD"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Pomoći dane u inozemstvo i unutar općeg proračuna, </w:t>
      </w:r>
    </w:p>
    <w:p w:rsidR="00A93ACD" w:rsidRPr="00A93ACD" w:rsidRDefault="00A93ACD" w:rsidP="00A93ACD">
      <w:pPr>
        <w:suppressAutoHyphens w:val="0"/>
        <w:autoSpaceDN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    indeks u odnosu isto razdob</w:t>
      </w:r>
      <w:r w:rsidR="00DB189A">
        <w:rPr>
          <w:rFonts w:ascii="Times New Roman" w:eastAsia="Times New Roman" w:hAnsi="Times New Roman"/>
          <w:sz w:val="24"/>
          <w:szCs w:val="24"/>
          <w:lang w:eastAsia="hr-HR"/>
        </w:rPr>
        <w:t>l</w:t>
      </w:r>
      <w:r w:rsidR="006511AD">
        <w:rPr>
          <w:rFonts w:ascii="Times New Roman" w:eastAsia="Times New Roman" w:hAnsi="Times New Roman"/>
          <w:sz w:val="24"/>
          <w:szCs w:val="24"/>
          <w:lang w:eastAsia="hr-HR"/>
        </w:rPr>
        <w:t xml:space="preserve">je protekle godine iznosi </w:t>
      </w:r>
      <w:proofErr w:type="spellStart"/>
      <w:r w:rsidR="006511AD">
        <w:rPr>
          <w:rFonts w:ascii="Times New Roman" w:eastAsia="Times New Roman" w:hAnsi="Times New Roman"/>
          <w:sz w:val="24"/>
          <w:szCs w:val="24"/>
          <w:lang w:eastAsia="hr-HR"/>
        </w:rPr>
        <w:t>109</w:t>
      </w:r>
      <w:proofErr w:type="spellEnd"/>
      <w:r w:rsidR="006511AD">
        <w:rPr>
          <w:rFonts w:ascii="Times New Roman" w:eastAsia="Times New Roman" w:hAnsi="Times New Roman"/>
          <w:sz w:val="24"/>
          <w:szCs w:val="24"/>
          <w:lang w:eastAsia="hr-HR"/>
        </w:rPr>
        <w:t>,3</w:t>
      </w:r>
    </w:p>
    <w:p w:rsidR="00DB189A" w:rsidRPr="00DB189A" w:rsidRDefault="00A93ACD" w:rsidP="00DB189A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Do povećanja u ovoj skupini došlo je uglavnom zbog povećanja </w:t>
      </w:r>
      <w:r w:rsidR="00DB189A" w:rsidRPr="00DB189A">
        <w:rPr>
          <w:rFonts w:ascii="Times New Roman" w:eastAsia="Times New Roman" w:hAnsi="Times New Roman"/>
          <w:sz w:val="24"/>
          <w:szCs w:val="24"/>
          <w:lang w:eastAsia="hr-HR"/>
        </w:rPr>
        <w:t xml:space="preserve">zbog povećanja mjesečnih troškova  najma zgrade OŠ Vinica, najam po </w:t>
      </w:r>
      <w:proofErr w:type="spellStart"/>
      <w:r w:rsidR="00DB189A" w:rsidRPr="00DB189A">
        <w:rPr>
          <w:rFonts w:ascii="Times New Roman" w:eastAsia="Times New Roman" w:hAnsi="Times New Roman"/>
          <w:sz w:val="24"/>
          <w:szCs w:val="24"/>
          <w:lang w:eastAsia="hr-HR"/>
        </w:rPr>
        <w:t>JPP</w:t>
      </w:r>
      <w:proofErr w:type="spellEnd"/>
    </w:p>
    <w:p w:rsidR="00A93ACD" w:rsidRPr="00A93ACD" w:rsidRDefault="00A93ACD" w:rsidP="00A93ACD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-    </w:t>
      </w:r>
      <w:r w:rsidR="006511AD">
        <w:rPr>
          <w:rFonts w:ascii="Times New Roman" w:eastAsia="Times New Roman" w:hAnsi="Times New Roman"/>
          <w:sz w:val="24"/>
          <w:szCs w:val="24"/>
          <w:lang w:eastAsia="hr-HR"/>
        </w:rPr>
        <w:t xml:space="preserve">skupina 37 - </w:t>
      </w: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Naknade građanima i kućanstvima na temelju </w:t>
      </w:r>
    </w:p>
    <w:p w:rsidR="00A93ACD" w:rsidRPr="00A93ACD" w:rsidRDefault="00A93ACD" w:rsidP="00A93ACD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osiguranja i druge  naknade, indeks u odnosu na prethodnu godinu za isto izvještajno </w:t>
      </w:r>
    </w:p>
    <w:p w:rsidR="00A93ACD" w:rsidRPr="00A93ACD" w:rsidRDefault="00A93ACD" w:rsidP="00A93ACD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razd</w:t>
      </w:r>
      <w:r w:rsidR="006511AD">
        <w:rPr>
          <w:rFonts w:ascii="Times New Roman" w:eastAsia="Times New Roman" w:hAnsi="Times New Roman"/>
          <w:sz w:val="24"/>
          <w:szCs w:val="24"/>
          <w:lang w:eastAsia="hr-HR"/>
        </w:rPr>
        <w:t xml:space="preserve">oblje iznosi </w:t>
      </w:r>
      <w:proofErr w:type="spellStart"/>
      <w:r w:rsidR="006511AD">
        <w:rPr>
          <w:rFonts w:ascii="Times New Roman" w:eastAsia="Times New Roman" w:hAnsi="Times New Roman"/>
          <w:sz w:val="24"/>
          <w:szCs w:val="24"/>
          <w:lang w:eastAsia="hr-HR"/>
        </w:rPr>
        <w:t>85</w:t>
      </w:r>
      <w:proofErr w:type="spellEnd"/>
      <w:r w:rsidR="006511AD">
        <w:rPr>
          <w:rFonts w:ascii="Times New Roman" w:eastAsia="Times New Roman" w:hAnsi="Times New Roman"/>
          <w:sz w:val="24"/>
          <w:szCs w:val="24"/>
          <w:lang w:eastAsia="hr-HR"/>
        </w:rPr>
        <w:t>,4</w:t>
      </w:r>
    </w:p>
    <w:p w:rsidR="00A93ACD" w:rsidRPr="00A93ACD" w:rsidRDefault="00A93ACD" w:rsidP="00A93ACD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eastAsia="Times New Roman" w:cs="Calibri"/>
          <w:lang w:eastAsia="hr-HR"/>
        </w:rPr>
        <w:t xml:space="preserve">    </w:t>
      </w: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Ovi rashodi ovise o podnesenim zahtjevima koji udovoljavaju kriterijima dodjele </w:t>
      </w:r>
    </w:p>
    <w:p w:rsidR="00A93ACD" w:rsidRPr="00A93ACD" w:rsidRDefault="00A93ACD" w:rsidP="00A93ACD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-     skupina 38</w:t>
      </w:r>
      <w:r w:rsidR="006511AD">
        <w:rPr>
          <w:rFonts w:ascii="Times New Roman" w:eastAsia="Times New Roman" w:hAnsi="Times New Roman"/>
          <w:sz w:val="24"/>
          <w:szCs w:val="24"/>
          <w:lang w:eastAsia="hr-HR"/>
        </w:rPr>
        <w:t xml:space="preserve"> - </w:t>
      </w: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Ostali rashodi   koji obuhvaćaju Tekuće donacije, </w:t>
      </w:r>
    </w:p>
    <w:p w:rsidR="00A93ACD" w:rsidRPr="00A93ACD" w:rsidRDefault="00A93ACD" w:rsidP="00A93ACD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Kapitalne donacije, Kapitalne pomoći, a indeks u odnosu na prošlu godinu isto </w:t>
      </w:r>
    </w:p>
    <w:p w:rsidR="00505FD8" w:rsidRDefault="00A93ACD" w:rsidP="00505FD8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3AC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izvještajno razdoblje iznosi </w:t>
      </w:r>
      <w:proofErr w:type="spellStart"/>
      <w:r w:rsidR="00C07C90">
        <w:rPr>
          <w:rFonts w:ascii="Times New Roman" w:eastAsia="Times New Roman" w:hAnsi="Times New Roman"/>
          <w:sz w:val="24"/>
          <w:szCs w:val="24"/>
          <w:lang w:eastAsia="hr-HR"/>
        </w:rPr>
        <w:t>114</w:t>
      </w:r>
      <w:proofErr w:type="spellEnd"/>
      <w:r w:rsidR="00C07C90">
        <w:rPr>
          <w:rFonts w:ascii="Times New Roman" w:eastAsia="Times New Roman" w:hAnsi="Times New Roman"/>
          <w:sz w:val="24"/>
          <w:szCs w:val="24"/>
          <w:lang w:eastAsia="hr-HR"/>
        </w:rPr>
        <w:t>,7</w:t>
      </w:r>
      <w:r w:rsid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505FD8"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Najznačajnije </w:t>
      </w:r>
      <w:r w:rsid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povećanje na kontu ove skupine   </w:t>
      </w:r>
    </w:p>
    <w:p w:rsidR="00505FD8" w:rsidRPr="00505FD8" w:rsidRDefault="00505FD8" w:rsidP="00505FD8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o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dnosi se na dodijeljene potpore u stambenom zbrinjavanju mladih </w:t>
      </w:r>
    </w:p>
    <w:p w:rsidR="006F1EB3" w:rsidRDefault="006F1EB3" w:rsidP="00D17D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5073F" w:rsidRDefault="00505FD8" w:rsidP="00D17D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Bilješka 3.</w:t>
      </w:r>
    </w:p>
    <w:p w:rsidR="00505FD8" w:rsidRPr="00505FD8" w:rsidRDefault="00505FD8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RASHODI ZA NABAVU NEFINANCIJSKE IMOVINE (4)</w:t>
      </w:r>
    </w:p>
    <w:p w:rsidR="00505FD8" w:rsidRPr="00505FD8" w:rsidRDefault="00505FD8" w:rsidP="00505FD8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Iznos ostvarenih rashoda za nabavu nefinancijske imovine do 31.12.2023. je </w:t>
      </w:r>
      <w:proofErr w:type="spellStart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398.909</w:t>
      </w:r>
      <w:proofErr w:type="spellEnd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proofErr w:type="spellStart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83</w:t>
      </w:r>
      <w:proofErr w:type="spellEnd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€, a indeks u odnosu na isto razdoblje protekle godine je 99,8</w:t>
      </w:r>
    </w:p>
    <w:p w:rsidR="00505FD8" w:rsidRPr="00505FD8" w:rsidRDefault="00505FD8" w:rsidP="00505FD8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Zemljište 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- rashodi za zemljište se odnose na  kupnju  zemljišta u iznosu od 6.000,00€ (ispod groblja)</w:t>
      </w:r>
    </w:p>
    <w:p w:rsidR="00505FD8" w:rsidRPr="00505FD8" w:rsidRDefault="00505FD8" w:rsidP="00505FD8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lang w:eastAsia="hr-HR"/>
        </w:rPr>
        <w:t>Ostali nespomenuti građevinski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objekti realizirani su u 2023. godini u iznosu od </w:t>
      </w:r>
      <w:proofErr w:type="spellStart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287.718</w:t>
      </w:r>
      <w:proofErr w:type="spellEnd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proofErr w:type="spellStart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76</w:t>
      </w:r>
      <w:proofErr w:type="spellEnd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€ , odnose se na uređenje Sportskog centra, </w:t>
      </w:r>
      <w:proofErr w:type="spellStart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ošasnu</w:t>
      </w:r>
      <w:proofErr w:type="spellEnd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imovinu i ulaganje u turističku infrastrukturu </w:t>
      </w:r>
    </w:p>
    <w:p w:rsidR="00505FD8" w:rsidRPr="00505FD8" w:rsidRDefault="00505FD8" w:rsidP="00505FD8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lang w:eastAsia="hr-HR"/>
        </w:rPr>
        <w:t>Postrojenja i oprema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– ulaganja u uredsku opremu i namještaj iznose </w:t>
      </w:r>
      <w:proofErr w:type="spellStart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70.490</w:t>
      </w:r>
      <w:proofErr w:type="spellEnd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,30€ i obuhvaća nabavu </w:t>
      </w:r>
      <w:proofErr w:type="spellStart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videonadzora</w:t>
      </w:r>
      <w:proofErr w:type="spellEnd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na groblju i sportskom centru, uredski namještaj i opremu, nabavu strojeva i opreme za održavanje javnih površina i komunalnu opremu za uređenje javnih </w:t>
      </w:r>
      <w:proofErr w:type="spellStart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povšina</w:t>
      </w:r>
      <w:proofErr w:type="spellEnd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-klupe i koševi, opremu za civilnu zaštitu i drugo</w:t>
      </w:r>
    </w:p>
    <w:p w:rsidR="00505FD8" w:rsidRPr="00505FD8" w:rsidRDefault="00505FD8" w:rsidP="00505FD8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Knjige, umjetnička djela 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– odnose se na rashode za tiskanje monografije</w:t>
      </w:r>
    </w:p>
    <w:p w:rsidR="00505FD8" w:rsidRPr="00505FD8" w:rsidRDefault="00505FD8" w:rsidP="00505FD8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Umjetnička, </w:t>
      </w:r>
      <w:proofErr w:type="spellStart"/>
      <w:r w:rsidRPr="00505FD8">
        <w:rPr>
          <w:rFonts w:ascii="Times New Roman" w:eastAsia="Times New Roman" w:hAnsi="Times New Roman"/>
          <w:b/>
          <w:sz w:val="24"/>
          <w:szCs w:val="24"/>
          <w:lang w:eastAsia="hr-HR"/>
        </w:rPr>
        <w:t>literalna</w:t>
      </w:r>
      <w:proofErr w:type="spellEnd"/>
      <w:r w:rsidRPr="00505FD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i znanstvena djela 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– uglavnom se odnose se na rashode za izradu III. izmjena i dopuna prostornog plana Općine Vinica – </w:t>
      </w:r>
      <w:proofErr w:type="spellStart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12.500</w:t>
      </w:r>
      <w:proofErr w:type="spellEnd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,00 €</w:t>
      </w:r>
    </w:p>
    <w:p w:rsidR="00505FD8" w:rsidRPr="00505FD8" w:rsidRDefault="00505FD8" w:rsidP="00505FD8">
      <w:pPr>
        <w:numPr>
          <w:ilvl w:val="0"/>
          <w:numId w:val="20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lang w:eastAsia="hr-HR"/>
        </w:rPr>
        <w:t>Dodatna ulaganja na građevinskim objektima -</w:t>
      </w:r>
      <w:proofErr w:type="spellStart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13.810</w:t>
      </w:r>
      <w:proofErr w:type="spellEnd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,53 €, sastoje se od rashoda za uređenje nadstrešnice na Ribičkoj kući, nabavu vrata na Društvenom domu Gornje Ladanje, uređenje površine uz nogometno igralište i Sportski centar</w:t>
      </w:r>
    </w:p>
    <w:p w:rsidR="00233C0F" w:rsidRPr="00601DAB" w:rsidRDefault="00233C0F" w:rsidP="00D17D1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05FD8" w:rsidRPr="00505FD8" w:rsidRDefault="00505FD8" w:rsidP="00505FD8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lang w:eastAsia="hr-HR"/>
        </w:rPr>
        <w:t>Bilješka 4.</w:t>
      </w:r>
    </w:p>
    <w:p w:rsidR="00505FD8" w:rsidRPr="00505FD8" w:rsidRDefault="00505FD8" w:rsidP="00505FD8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Nakon utvrđivanja rezultata za 2023. godinu, ostvaren je manjak prihoda i primitaka za pokriće u sljedećem </w:t>
      </w:r>
      <w:r w:rsidR="007709DB">
        <w:rPr>
          <w:rFonts w:ascii="Times New Roman" w:eastAsia="Times New Roman" w:hAnsi="Times New Roman"/>
          <w:sz w:val="24"/>
          <w:szCs w:val="24"/>
          <w:lang w:eastAsia="hr-HR"/>
        </w:rPr>
        <w:t xml:space="preserve">razdoblju u iznosu od </w:t>
      </w:r>
      <w:proofErr w:type="spellStart"/>
      <w:r w:rsidR="007709DB">
        <w:rPr>
          <w:rFonts w:ascii="Times New Roman" w:eastAsia="Times New Roman" w:hAnsi="Times New Roman"/>
          <w:sz w:val="24"/>
          <w:szCs w:val="24"/>
          <w:lang w:eastAsia="hr-HR"/>
        </w:rPr>
        <w:t>124.679</w:t>
      </w:r>
      <w:proofErr w:type="spellEnd"/>
      <w:r w:rsidR="007709DB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proofErr w:type="spellStart"/>
      <w:r w:rsidR="007709DB">
        <w:rPr>
          <w:rFonts w:ascii="Times New Roman" w:eastAsia="Times New Roman" w:hAnsi="Times New Roman"/>
          <w:sz w:val="24"/>
          <w:szCs w:val="24"/>
          <w:lang w:eastAsia="hr-HR"/>
        </w:rPr>
        <w:t>57</w:t>
      </w:r>
      <w:proofErr w:type="spellEnd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</w:t>
      </w:r>
    </w:p>
    <w:p w:rsidR="00505FD8" w:rsidRDefault="00505FD8" w:rsidP="00505FD8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87B03" w:rsidRPr="00E87B03" w:rsidRDefault="00E87B03" w:rsidP="00E87B0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87B03">
        <w:rPr>
          <w:rFonts w:ascii="Times New Roman" w:eastAsia="Times New Roman" w:hAnsi="Times New Roman"/>
          <w:b/>
          <w:sz w:val="24"/>
          <w:szCs w:val="24"/>
          <w:lang w:eastAsia="hr-HR"/>
        </w:rPr>
        <w:t>Bilješka 5.</w:t>
      </w:r>
    </w:p>
    <w:p w:rsidR="00E87B03" w:rsidRDefault="00E87B03" w:rsidP="00E87B0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Na dan 31.12.2023. stanje zaposlenih 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: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-Općina Vinica: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9 od toga 2 namještenika u okviru Vlastitog pogona kao unutarnje ustrojstvene jedinice </w:t>
      </w:r>
    </w:p>
    <w:p w:rsidR="00E87B03" w:rsidRPr="00E87B03" w:rsidRDefault="00E87B03" w:rsidP="00E87B0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-</w:t>
      </w:r>
      <w:r w:rsidRPr="00E87B03">
        <w:rPr>
          <w:rFonts w:ascii="Times New Roman" w:eastAsia="Times New Roman" w:hAnsi="Times New Roman"/>
          <w:sz w:val="24"/>
          <w:szCs w:val="24"/>
          <w:lang w:eastAsia="hr-HR"/>
        </w:rPr>
        <w:t>Dječji vrtić Vinica zapošljavao je 17 djelatnica čija je struktura slijedeća:</w:t>
      </w:r>
    </w:p>
    <w:p w:rsidR="00E87B03" w:rsidRPr="00E87B03" w:rsidRDefault="00E87B03" w:rsidP="00E87B03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87B03">
        <w:rPr>
          <w:rFonts w:ascii="Times New Roman" w:eastAsia="Times New Roman" w:hAnsi="Times New Roman"/>
          <w:sz w:val="24"/>
          <w:szCs w:val="24"/>
          <w:lang w:eastAsia="hr-HR"/>
        </w:rPr>
        <w:t xml:space="preserve">1 osoba – ravnateljica </w:t>
      </w:r>
    </w:p>
    <w:p w:rsidR="00E87B03" w:rsidRPr="00E87B03" w:rsidRDefault="00E87B03" w:rsidP="00E87B03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87B03">
        <w:rPr>
          <w:rFonts w:ascii="Times New Roman" w:eastAsia="Times New Roman" w:hAnsi="Times New Roman"/>
          <w:sz w:val="24"/>
          <w:szCs w:val="24"/>
          <w:lang w:eastAsia="hr-HR"/>
        </w:rPr>
        <w:t xml:space="preserve">1 osoba - zamjenica ravnateljice (8 h) </w:t>
      </w:r>
    </w:p>
    <w:p w:rsidR="00E87B03" w:rsidRPr="00E87B03" w:rsidRDefault="00E87B03" w:rsidP="00E87B03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87B03">
        <w:rPr>
          <w:rFonts w:ascii="Times New Roman" w:eastAsia="Times New Roman" w:hAnsi="Times New Roman"/>
          <w:sz w:val="24"/>
          <w:szCs w:val="24"/>
          <w:lang w:eastAsia="hr-HR"/>
        </w:rPr>
        <w:t>2 osoba – odgajateljica (komplikacije u trudnoći)</w:t>
      </w:r>
    </w:p>
    <w:p w:rsidR="00E87B03" w:rsidRPr="00E87B03" w:rsidRDefault="00E87B03" w:rsidP="00E87B03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87B03">
        <w:rPr>
          <w:rFonts w:ascii="Times New Roman" w:eastAsia="Times New Roman" w:hAnsi="Times New Roman"/>
          <w:sz w:val="24"/>
          <w:szCs w:val="24"/>
          <w:lang w:eastAsia="hr-HR"/>
        </w:rPr>
        <w:t xml:space="preserve">10 odgajateljica (8 h) </w:t>
      </w:r>
    </w:p>
    <w:p w:rsidR="00E87B03" w:rsidRPr="00E87B03" w:rsidRDefault="00E87B03" w:rsidP="00E87B03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87B03">
        <w:rPr>
          <w:rFonts w:ascii="Times New Roman" w:eastAsia="Times New Roman" w:hAnsi="Times New Roman"/>
          <w:sz w:val="24"/>
          <w:szCs w:val="24"/>
          <w:lang w:eastAsia="hr-HR"/>
        </w:rPr>
        <w:t>1 osoba- kuharica (</w:t>
      </w:r>
      <w:proofErr w:type="spellStart"/>
      <w:r w:rsidRPr="00E87B03">
        <w:rPr>
          <w:rFonts w:ascii="Times New Roman" w:eastAsia="Times New Roman" w:hAnsi="Times New Roman"/>
          <w:sz w:val="24"/>
          <w:szCs w:val="24"/>
          <w:lang w:eastAsia="hr-HR"/>
        </w:rPr>
        <w:t>8h</w:t>
      </w:r>
      <w:proofErr w:type="spellEnd"/>
      <w:r w:rsidRPr="00E87B03"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:rsidR="00E87B03" w:rsidRPr="00E87B03" w:rsidRDefault="00E87B03" w:rsidP="00E87B03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87B03">
        <w:rPr>
          <w:rFonts w:ascii="Times New Roman" w:eastAsia="Times New Roman" w:hAnsi="Times New Roman"/>
          <w:sz w:val="24"/>
          <w:szCs w:val="24"/>
          <w:lang w:eastAsia="hr-HR"/>
        </w:rPr>
        <w:t xml:space="preserve">1 osoba pomoćna kuharica (8 h) </w:t>
      </w:r>
    </w:p>
    <w:p w:rsidR="00E87B03" w:rsidRDefault="00E87B03" w:rsidP="00E87B03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E87B03">
        <w:rPr>
          <w:rFonts w:ascii="Times New Roman" w:eastAsia="Times New Roman" w:hAnsi="Times New Roman"/>
          <w:sz w:val="24"/>
          <w:szCs w:val="24"/>
          <w:lang w:eastAsia="hr-HR"/>
        </w:rPr>
        <w:t>1 osoba- spremačica (</w:t>
      </w:r>
      <w:proofErr w:type="spellStart"/>
      <w:r w:rsidRPr="00E87B03">
        <w:rPr>
          <w:rFonts w:ascii="Times New Roman" w:eastAsia="Times New Roman" w:hAnsi="Times New Roman"/>
          <w:sz w:val="24"/>
          <w:szCs w:val="24"/>
          <w:lang w:eastAsia="hr-HR"/>
        </w:rPr>
        <w:t>8h</w:t>
      </w:r>
      <w:proofErr w:type="spellEnd"/>
      <w:r w:rsidRPr="00E87B03"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:rsidR="00E87B03" w:rsidRDefault="00E87B03" w:rsidP="00E87B0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87B03" w:rsidRPr="00E87B03" w:rsidRDefault="00E87B03" w:rsidP="00E87B0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87B03">
        <w:rPr>
          <w:rFonts w:ascii="Times New Roman" w:eastAsia="Times New Roman" w:hAnsi="Times New Roman"/>
          <w:b/>
          <w:sz w:val="24"/>
          <w:szCs w:val="24"/>
          <w:lang w:eastAsia="hr-HR"/>
        </w:rPr>
        <w:t>Bilješka 6.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POPIS SUDSKI SPOROVA U TIJEKU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U 2023. godini Općina Vinica nije vodila sudske sporove.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Bilješka 7.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PRIMICI I IZDACI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Općina Vinica u 2023. godini nije ostvarila primitke od financijske imovine i zaduživanja te nije imala izdataka za financijsku imovinu i otplate zajmova.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lang w:eastAsia="hr-HR"/>
        </w:rPr>
        <w:t>Bilješka 8.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  <w:r w:rsidRPr="00505FD8"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STANJE NOVČANIH SREDSTAVA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- na početku izv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ještajnog razdoblja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339.117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,24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- ukupni priljevi: 1.775.098,67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- ukupni odljevi: 2.034.271,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87</w:t>
      </w:r>
      <w:proofErr w:type="spellEnd"/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</w:t>
      </w:r>
    </w:p>
    <w:p w:rsidR="00E87B03" w:rsidRPr="00505FD8" w:rsidRDefault="00E87B03" w:rsidP="00E87B03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- stanje na kraju izvještajnog razdoblja: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79.994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,04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</w:t>
      </w:r>
    </w:p>
    <w:p w:rsidR="00E87B03" w:rsidRPr="00E87B03" w:rsidRDefault="00E87B03" w:rsidP="00E87B03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078E5" w:rsidRPr="00505FD8" w:rsidRDefault="00E078E5" w:rsidP="00505FD8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078E5" w:rsidRPr="00E078E5" w:rsidRDefault="00E078E5" w:rsidP="00E078E5">
      <w:pPr>
        <w:autoSpaceDN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E078E5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BILJEŠKE UZ  OBRAZAC </w:t>
      </w:r>
      <w:r w:rsidRPr="00E078E5">
        <w:rPr>
          <w:rFonts w:ascii="Times New Roman" w:eastAsia="Times New Roman" w:hAnsi="Times New Roman"/>
          <w:b/>
          <w:i/>
          <w:sz w:val="24"/>
          <w:szCs w:val="24"/>
          <w:u w:val="single"/>
          <w:lang w:eastAsia="zh-CN"/>
        </w:rPr>
        <w:t>BILANCA</w:t>
      </w:r>
      <w:r w:rsidRPr="00E078E5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 ZA RAZDOBLJE  </w:t>
      </w:r>
      <w:proofErr w:type="spellStart"/>
      <w:r w:rsidRPr="00E078E5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01.01</w:t>
      </w:r>
      <w:proofErr w:type="spellEnd"/>
      <w:r w:rsidRPr="00E078E5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. - </w:t>
      </w:r>
      <w:proofErr w:type="spellStart"/>
      <w:r w:rsidRPr="00E078E5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31.12</w:t>
      </w:r>
      <w:proofErr w:type="spellEnd"/>
      <w:r w:rsidRPr="00E078E5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. 2023. GOD.</w:t>
      </w:r>
    </w:p>
    <w:p w:rsidR="00E078E5" w:rsidRPr="00E078E5" w:rsidRDefault="00E078E5" w:rsidP="00E078E5">
      <w:pPr>
        <w:autoSpaceDN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715815" w:rsidRDefault="00715815" w:rsidP="00E078E5">
      <w:pPr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Bilješka 1.</w:t>
      </w:r>
      <w:r w:rsidR="00E078E5" w:rsidRPr="00E078E5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</w:p>
    <w:p w:rsidR="00350230" w:rsidRDefault="00E078E5" w:rsidP="00E078E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Ukupna vrijednost imovine na dan </w:t>
      </w:r>
      <w:r w:rsidRPr="00E078E5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31.12.2023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. godine i</w:t>
      </w:r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>znosi 6.091.634,</w:t>
      </w:r>
      <w:proofErr w:type="spellStart"/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>87</w:t>
      </w:r>
      <w:proofErr w:type="spellEnd"/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 xml:space="preserve"> €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 i sadrži </w:t>
      </w:r>
    </w:p>
    <w:p w:rsidR="00E078E5" w:rsidRPr="00E078E5" w:rsidRDefault="00E078E5" w:rsidP="00E078E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vrijednost nefinancijske imovine </w:t>
      </w:r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>u iznosu od 5.489.242,50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€</w:t>
      </w:r>
      <w:r w:rsidRPr="00E078E5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i vrijednost financijske imo</w:t>
      </w:r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 xml:space="preserve">vine u iznosu od </w:t>
      </w:r>
      <w:proofErr w:type="spellStart"/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>622.392</w:t>
      </w:r>
      <w:proofErr w:type="spellEnd"/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>,37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€</w:t>
      </w:r>
    </w:p>
    <w:p w:rsidR="00E078E5" w:rsidRPr="00E078E5" w:rsidRDefault="00E078E5" w:rsidP="00E078E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ab/>
        <w:t>-  ostala potraž</w:t>
      </w:r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 xml:space="preserve">ivanja u iznosu od </w:t>
      </w:r>
      <w:proofErr w:type="spellStart"/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>81469</w:t>
      </w:r>
      <w:proofErr w:type="spellEnd"/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>,77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€ </w:t>
      </w:r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 xml:space="preserve"> povećala su se za 41,5 %, a navedena potraživanja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 odnose se na potraživanja od Hrvatskih voda za naknadu za uređenje voda</w:t>
      </w:r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E078E5" w:rsidRPr="00E078E5" w:rsidRDefault="00E078E5" w:rsidP="00E078E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-  potraživanja s osnova dionica u iznosu od </w:t>
      </w:r>
      <w:proofErr w:type="spellStart"/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365.385</w:t>
      </w:r>
      <w:proofErr w:type="spellEnd"/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proofErr w:type="spellStart"/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90</w:t>
      </w:r>
      <w:proofErr w:type="spellEnd"/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 €, a odnosi se na   udjela u glavnici trgovačkih društava Varkom d.d. i </w:t>
      </w:r>
      <w:proofErr w:type="spellStart"/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čistoča</w:t>
      </w:r>
      <w:proofErr w:type="spellEnd"/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 d.d. Varaždin </w:t>
      </w:r>
    </w:p>
    <w:p w:rsidR="00E078E5" w:rsidRPr="00E078E5" w:rsidRDefault="00E078E5" w:rsidP="00E078E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-  potraživanja za poreze iznose </w:t>
      </w:r>
      <w:proofErr w:type="spellStart"/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11.462</w:t>
      </w:r>
      <w:proofErr w:type="spellEnd"/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,75 € i odnose se na: porez na promet  nekretnina, porez na potrošnju, porez na tvrtku i porez na kuće za odmor</w:t>
      </w:r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>, te su smanjena u odnosu na usporedno razdoblje 61,8%</w:t>
      </w:r>
    </w:p>
    <w:p w:rsidR="00E078E5" w:rsidRPr="00E078E5" w:rsidRDefault="00350230" w:rsidP="00350230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</w:t>
      </w:r>
      <w:r w:rsidR="00E078E5"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- potraživanja za prihode od imovine u iznosu od </w:t>
      </w:r>
      <w:proofErr w:type="spellStart"/>
      <w:r w:rsidR="00E078E5" w:rsidRPr="00E078E5">
        <w:rPr>
          <w:rFonts w:ascii="Times New Roman" w:eastAsia="Times New Roman" w:hAnsi="Times New Roman"/>
          <w:sz w:val="24"/>
          <w:szCs w:val="24"/>
          <w:lang w:eastAsia="zh-CN"/>
        </w:rPr>
        <w:t>14.315</w:t>
      </w:r>
      <w:proofErr w:type="spellEnd"/>
      <w:r w:rsidR="00E078E5" w:rsidRPr="00E078E5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proofErr w:type="spellStart"/>
      <w:r w:rsidR="00E078E5" w:rsidRPr="00E078E5">
        <w:rPr>
          <w:rFonts w:ascii="Times New Roman" w:eastAsia="Times New Roman" w:hAnsi="Times New Roman"/>
          <w:sz w:val="24"/>
          <w:szCs w:val="24"/>
          <w:lang w:eastAsia="zh-CN"/>
        </w:rPr>
        <w:t>81</w:t>
      </w:r>
      <w:proofErr w:type="spellEnd"/>
      <w:r w:rsidR="00E078E5"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 € , a u istim potraživanjima iskazana su potraživanja za najamnine i i naknadu za neizgrađene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E078E5"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zgrade u prostoru.   </w:t>
      </w:r>
    </w:p>
    <w:p w:rsidR="00E078E5" w:rsidRPr="00E078E5" w:rsidRDefault="00E078E5" w:rsidP="00E078E5">
      <w:pPr>
        <w:autoSpaceDN/>
        <w:spacing w:after="0" w:line="240" w:lineRule="auto"/>
        <w:ind w:left="900" w:hanging="180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78E5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- 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potraživanja za upravne i administrativne pristojbe, prihode po posebnim propisima</w:t>
      </w:r>
    </w:p>
    <w:p w:rsidR="00E078E5" w:rsidRPr="00E078E5" w:rsidRDefault="00E078E5" w:rsidP="00BE19EB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 u iz</w:t>
      </w:r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 xml:space="preserve">nosu od </w:t>
      </w:r>
      <w:proofErr w:type="spellStart"/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>65.310</w:t>
      </w:r>
      <w:proofErr w:type="spellEnd"/>
      <w:r w:rsidR="00350230">
        <w:rPr>
          <w:rFonts w:ascii="Times New Roman" w:eastAsia="Times New Roman" w:hAnsi="Times New Roman"/>
          <w:sz w:val="24"/>
          <w:szCs w:val="24"/>
          <w:lang w:eastAsia="zh-CN"/>
        </w:rPr>
        <w:t>,19 €</w:t>
      </w:r>
      <w:r w:rsidR="00BE19EB">
        <w:rPr>
          <w:rFonts w:ascii="Times New Roman" w:eastAsia="Times New Roman" w:hAnsi="Times New Roman"/>
          <w:sz w:val="24"/>
          <w:szCs w:val="24"/>
          <w:lang w:eastAsia="zh-CN"/>
        </w:rPr>
        <w:t>, nav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ed</w:t>
      </w:r>
      <w:r w:rsidR="00BE19EB">
        <w:rPr>
          <w:rFonts w:ascii="Times New Roman" w:eastAsia="Times New Roman" w:hAnsi="Times New Roman"/>
          <w:sz w:val="24"/>
          <w:szCs w:val="24"/>
          <w:lang w:eastAsia="zh-CN"/>
        </w:rPr>
        <w:t>e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na potraživanja sadrže: potraživanja za komunalni doprinos,potraživanja za grobnu naknadu, potraživanja za komunalnu naknadu od fizičkih osoba, potraživanja za komunalnu naknadu od pravnih osoba i ostala potraživanja  </w:t>
      </w:r>
    </w:p>
    <w:p w:rsidR="00E078E5" w:rsidRDefault="00E078E5" w:rsidP="00BE19EB">
      <w:pPr>
        <w:autoSpaceDN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E078E5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 xml:space="preserve">- 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potraživanja od prodaje nefinancijske imovine u iznosu od </w:t>
      </w:r>
      <w:proofErr w:type="spellStart"/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4.503</w:t>
      </w:r>
      <w:proofErr w:type="spellEnd"/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proofErr w:type="spellStart"/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91</w:t>
      </w:r>
      <w:proofErr w:type="spellEnd"/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 xml:space="preserve"> €</w:t>
      </w:r>
      <w:r w:rsidR="00BE19EB">
        <w:rPr>
          <w:rFonts w:ascii="Times New Roman" w:eastAsia="Times New Roman" w:hAnsi="Times New Roman"/>
          <w:sz w:val="24"/>
          <w:szCs w:val="24"/>
          <w:lang w:eastAsia="zh-CN"/>
        </w:rPr>
        <w:t xml:space="preserve"> koja se odnose </w:t>
      </w:r>
      <w:r w:rsidRPr="00E078E5">
        <w:rPr>
          <w:rFonts w:ascii="Times New Roman" w:eastAsia="Times New Roman" w:hAnsi="Times New Roman"/>
          <w:sz w:val="24"/>
          <w:szCs w:val="24"/>
          <w:lang w:eastAsia="zh-CN"/>
        </w:rPr>
        <w:t>na potraživanja za otkup općinskih stanova</w:t>
      </w:r>
    </w:p>
    <w:p w:rsidR="00715815" w:rsidRDefault="00715815" w:rsidP="00BE19EB">
      <w:pPr>
        <w:autoSpaceDN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15815" w:rsidRPr="00715815" w:rsidRDefault="00715815" w:rsidP="00715815">
      <w:pPr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15815">
        <w:rPr>
          <w:rFonts w:ascii="Times New Roman" w:eastAsia="Times New Roman" w:hAnsi="Times New Roman"/>
          <w:b/>
          <w:sz w:val="24"/>
          <w:szCs w:val="24"/>
          <w:lang w:eastAsia="zh-CN"/>
        </w:rPr>
        <w:t>Bilješka 2.</w:t>
      </w:r>
    </w:p>
    <w:p w:rsidR="00715815" w:rsidRPr="00715815" w:rsidRDefault="00715815" w:rsidP="0071581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>Obveze i vlastiti izvori ukupno iznose od 6.091.634,</w:t>
      </w:r>
      <w:proofErr w:type="spellStart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>87</w:t>
      </w:r>
      <w:proofErr w:type="spellEnd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 € od toga obveze </w:t>
      </w:r>
      <w:proofErr w:type="spellStart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>220.045</w:t>
      </w:r>
      <w:proofErr w:type="spellEnd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>,27 € i vlastiti izvori 5.900.676,51 €</w:t>
      </w:r>
    </w:p>
    <w:p w:rsidR="00715815" w:rsidRPr="00715815" w:rsidRDefault="00715815" w:rsidP="0071581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Vlastiti izvore sadrže vlastite izvore iz proračuna 5.535.290,61 €, ostale vlastite izvore – udjeli u trgovačkim društvima </w:t>
      </w:r>
      <w:proofErr w:type="spellStart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>365.385</w:t>
      </w:r>
      <w:proofErr w:type="spellEnd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proofErr w:type="spellStart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>90</w:t>
      </w:r>
      <w:proofErr w:type="spellEnd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 €, obračunati prihodi poslovanja u iznosu od </w:t>
      </w:r>
      <w:proofErr w:type="spellStart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>91.088</w:t>
      </w:r>
      <w:proofErr w:type="spellEnd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,75 €, obračunati prihodi od prodaje nefinancijske imovine u iznosu od </w:t>
      </w:r>
      <w:proofErr w:type="spellStart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>4.503</w:t>
      </w:r>
      <w:proofErr w:type="spellEnd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proofErr w:type="spellStart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>91</w:t>
      </w:r>
      <w:proofErr w:type="spellEnd"/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 € - prodaja općinskih stanova</w:t>
      </w:r>
    </w:p>
    <w:p w:rsidR="00715815" w:rsidRPr="00E078E5" w:rsidRDefault="00715815" w:rsidP="00BE19EB">
      <w:pPr>
        <w:autoSpaceDN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5FD8" w:rsidRPr="00505FD8" w:rsidRDefault="00505FD8" w:rsidP="00505FD8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05FD8" w:rsidRPr="00505FD8" w:rsidRDefault="00505FD8" w:rsidP="00505FD8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05FD8" w:rsidRPr="00505FD8" w:rsidRDefault="00505FD8" w:rsidP="00505FD8">
      <w:pPr>
        <w:keepNext/>
        <w:suppressAutoHyphens w:val="0"/>
        <w:autoSpaceDN/>
        <w:spacing w:after="0" w:line="240" w:lineRule="auto"/>
        <w:jc w:val="both"/>
        <w:outlineLvl w:val="7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r-HR"/>
        </w:rPr>
      </w:pPr>
      <w:r w:rsidRPr="00505FD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r-HR"/>
        </w:rPr>
        <w:t>Bilješke uz Izvještaj o obvezama – Obrazac: OBVEZE</w:t>
      </w:r>
    </w:p>
    <w:p w:rsidR="00505FD8" w:rsidRPr="00505FD8" w:rsidRDefault="00505FD8" w:rsidP="00505FD8">
      <w:pPr>
        <w:suppressAutoHyphens w:val="0"/>
        <w:autoSpaceDN/>
        <w:spacing w:after="0" w:line="240" w:lineRule="auto"/>
        <w:ind w:left="360"/>
        <w:jc w:val="both"/>
        <w:rPr>
          <w:rFonts w:eastAsia="Times New Roman" w:cs="Calibri"/>
          <w:lang w:eastAsia="hr-HR"/>
        </w:rPr>
      </w:pPr>
    </w:p>
    <w:p w:rsidR="00505FD8" w:rsidRDefault="00AA0A1B" w:rsidP="00505FD8">
      <w:pPr>
        <w:suppressAutoHyphens w:val="0"/>
        <w:autoSpaceDN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Ukupno s</w:t>
      </w:r>
      <w:r w:rsidR="00505FD8" w:rsidRPr="00505FD8">
        <w:rPr>
          <w:rFonts w:ascii="Times New Roman" w:eastAsia="Times New Roman" w:hAnsi="Times New Roman"/>
          <w:sz w:val="24"/>
          <w:szCs w:val="24"/>
          <w:lang w:eastAsia="hr-HR"/>
        </w:rPr>
        <w:t>tanje obveza za početku izvješta</w:t>
      </w:r>
      <w:r w:rsidR="00E87B03">
        <w:rPr>
          <w:rFonts w:ascii="Times New Roman" w:eastAsia="Times New Roman" w:hAnsi="Times New Roman"/>
          <w:sz w:val="24"/>
          <w:szCs w:val="24"/>
          <w:lang w:eastAsia="hr-HR"/>
        </w:rPr>
        <w:t xml:space="preserve">jnog razdoblja iznose </w:t>
      </w:r>
      <w:proofErr w:type="spellStart"/>
      <w:r w:rsidR="00E87B03">
        <w:rPr>
          <w:rFonts w:ascii="Times New Roman" w:eastAsia="Times New Roman" w:hAnsi="Times New Roman"/>
          <w:sz w:val="24"/>
          <w:szCs w:val="24"/>
          <w:lang w:eastAsia="hr-HR"/>
        </w:rPr>
        <w:t>329.680</w:t>
      </w:r>
      <w:proofErr w:type="spellEnd"/>
      <w:r w:rsidR="00E87B03">
        <w:rPr>
          <w:rFonts w:ascii="Times New Roman" w:eastAsia="Times New Roman" w:hAnsi="Times New Roman"/>
          <w:sz w:val="24"/>
          <w:szCs w:val="24"/>
          <w:lang w:eastAsia="hr-HR"/>
        </w:rPr>
        <w:t>,00</w:t>
      </w:r>
      <w:r w:rsidR="00505FD8"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€. Ukupne obveze na dan 31.1</w:t>
      </w:r>
      <w:r w:rsidR="00A75EDF">
        <w:rPr>
          <w:rFonts w:ascii="Times New Roman" w:eastAsia="Times New Roman" w:hAnsi="Times New Roman"/>
          <w:sz w:val="24"/>
          <w:szCs w:val="24"/>
          <w:lang w:eastAsia="hr-HR"/>
        </w:rPr>
        <w:t xml:space="preserve">2.2023. godine iznose </w:t>
      </w:r>
      <w:proofErr w:type="spellStart"/>
      <w:r w:rsidR="00A75EDF">
        <w:rPr>
          <w:rFonts w:ascii="Times New Roman" w:eastAsia="Times New Roman" w:hAnsi="Times New Roman"/>
          <w:sz w:val="24"/>
          <w:szCs w:val="24"/>
          <w:lang w:eastAsia="hr-HR"/>
        </w:rPr>
        <w:t>220.045</w:t>
      </w:r>
      <w:proofErr w:type="spellEnd"/>
      <w:r w:rsidR="00A75EDF">
        <w:rPr>
          <w:rFonts w:ascii="Times New Roman" w:eastAsia="Times New Roman" w:hAnsi="Times New Roman"/>
          <w:sz w:val="24"/>
          <w:szCs w:val="24"/>
          <w:lang w:eastAsia="hr-HR"/>
        </w:rPr>
        <w:t>,27</w:t>
      </w:r>
      <w:r w:rsidR="00505FD8"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€. </w:t>
      </w:r>
    </w:p>
    <w:p w:rsidR="00AA0A1B" w:rsidRDefault="00A75EDF" w:rsidP="00AA0A1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Ukupne obveze </w:t>
      </w:r>
      <w:r w:rsidR="00505FD8"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odnose se na nepodmirene dospjele obveze u iznosu od </w:t>
      </w:r>
      <w:proofErr w:type="spellStart"/>
      <w:r w:rsidR="00505FD8" w:rsidRPr="00505FD8">
        <w:rPr>
          <w:rFonts w:ascii="Times New Roman" w:eastAsia="Times New Roman" w:hAnsi="Times New Roman"/>
          <w:sz w:val="24"/>
          <w:szCs w:val="24"/>
          <w:lang w:eastAsia="hr-HR"/>
        </w:rPr>
        <w:t>140.750</w:t>
      </w:r>
      <w:proofErr w:type="spellEnd"/>
      <w:r w:rsidR="00505FD8" w:rsidRPr="00505FD8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proofErr w:type="spellStart"/>
      <w:r w:rsidR="00505FD8" w:rsidRPr="00505FD8">
        <w:rPr>
          <w:rFonts w:ascii="Times New Roman" w:eastAsia="Times New Roman" w:hAnsi="Times New Roman"/>
          <w:sz w:val="24"/>
          <w:szCs w:val="24"/>
          <w:lang w:eastAsia="hr-HR"/>
        </w:rPr>
        <w:t>16</w:t>
      </w:r>
      <w:proofErr w:type="spellEnd"/>
      <w:r w:rsidR="00505FD8"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€, te nepodmirene, a nedospj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ele obveze u iznosu od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79.294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91</w:t>
      </w:r>
      <w:proofErr w:type="spellEnd"/>
      <w:r w:rsidR="00505FD8" w:rsidRPr="00505FD8">
        <w:rPr>
          <w:rFonts w:ascii="Times New Roman" w:eastAsia="Times New Roman" w:hAnsi="Times New Roman"/>
          <w:sz w:val="24"/>
          <w:szCs w:val="24"/>
          <w:lang w:eastAsia="hr-HR"/>
        </w:rPr>
        <w:t xml:space="preserve"> €. </w:t>
      </w:r>
    </w:p>
    <w:p w:rsidR="00A75EDF" w:rsidRDefault="00A75EDF" w:rsidP="00AA0A1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Značajniji iznos za obveze s prekoračenjem preko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360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dana </w:t>
      </w:r>
      <w:r w:rsidRPr="00505FD8">
        <w:rPr>
          <w:rFonts w:ascii="Times New Roman" w:eastAsia="Times New Roman" w:hAnsi="Times New Roman"/>
          <w:sz w:val="24"/>
          <w:szCs w:val="24"/>
          <w:lang w:eastAsia="hr-HR"/>
        </w:rPr>
        <w:t>odnosi se na obveze prema Hrvatskim vodama za nenaplaćenu naknadu za uređenje voda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 iznosi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64.368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,54 €.</w:t>
      </w:r>
    </w:p>
    <w:p w:rsidR="00AA0A1B" w:rsidRDefault="00AA0A1B" w:rsidP="00AA0A1B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05FD8" w:rsidRPr="00505FD8" w:rsidRDefault="00505FD8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505FD8" w:rsidRPr="00505FD8" w:rsidRDefault="00505FD8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 w:rsidRPr="00505F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 xml:space="preserve">BILJEŠKE UZ OBRAZAC </w:t>
      </w:r>
      <w:proofErr w:type="spellStart"/>
      <w:r w:rsidRPr="00505F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RAS</w:t>
      </w:r>
      <w:proofErr w:type="spellEnd"/>
      <w:r w:rsidRPr="00505F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-FUNKCIJSKI</w:t>
      </w:r>
    </w:p>
    <w:p w:rsidR="00505FD8" w:rsidRPr="00505FD8" w:rsidRDefault="00505FD8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</w:p>
    <w:p w:rsidR="00A75EDF" w:rsidRPr="00715815" w:rsidRDefault="00505FD8" w:rsidP="00A75EDF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1. Opće javne usluge (01) -</w:t>
      </w:r>
      <w:r w:rsidRPr="00505FD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ukupan iznos za o</w:t>
      </w:r>
      <w:r w:rsidR="004E0CE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pće javne usluge od </w:t>
      </w:r>
      <w:proofErr w:type="spellStart"/>
      <w:r w:rsidR="004E0CEE">
        <w:rPr>
          <w:rFonts w:ascii="Times New Roman" w:eastAsia="Times New Roman" w:hAnsi="Times New Roman"/>
          <w:bCs/>
          <w:sz w:val="24"/>
          <w:szCs w:val="24"/>
          <w:lang w:eastAsia="hr-HR"/>
        </w:rPr>
        <w:t>495.081</w:t>
      </w:r>
      <w:proofErr w:type="spellEnd"/>
      <w:r w:rsidR="004E0CEE">
        <w:rPr>
          <w:rFonts w:ascii="Times New Roman" w:eastAsia="Times New Roman" w:hAnsi="Times New Roman"/>
          <w:bCs/>
          <w:sz w:val="24"/>
          <w:szCs w:val="24"/>
          <w:lang w:eastAsia="hr-HR"/>
        </w:rPr>
        <w:t>,07</w:t>
      </w:r>
      <w:r w:rsidR="00A75ED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Pr="00505FD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€ odnosi se na opće usluge vezane za službenike u iznosu od </w:t>
      </w:r>
      <w:proofErr w:type="spellStart"/>
      <w:r w:rsidRPr="00505FD8">
        <w:rPr>
          <w:rFonts w:ascii="Times New Roman" w:eastAsia="Times New Roman" w:hAnsi="Times New Roman"/>
          <w:bCs/>
          <w:sz w:val="24"/>
          <w:szCs w:val="24"/>
          <w:lang w:eastAsia="hr-HR"/>
        </w:rPr>
        <w:t>198.594</w:t>
      </w:r>
      <w:proofErr w:type="spellEnd"/>
      <w:r w:rsidRPr="00505FD8">
        <w:rPr>
          <w:rFonts w:ascii="Times New Roman" w:eastAsia="Times New Roman" w:hAnsi="Times New Roman"/>
          <w:bCs/>
          <w:sz w:val="24"/>
          <w:szCs w:val="24"/>
          <w:lang w:eastAsia="hr-HR"/>
        </w:rPr>
        <w:t>,34 i prijenose općeg karaktera između različitih državnih razina</w:t>
      </w:r>
    </w:p>
    <w:p w:rsidR="00505FD8" w:rsidRPr="00505FD8" w:rsidRDefault="00A75EDF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2. Usluge unapređenja stanovanja i zajednice 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06</w:t>
      </w:r>
      <w:proofErr w:type="spellEnd"/>
      <w:r w:rsidR="00505FD8" w:rsidRPr="00505FD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) – </w:t>
      </w:r>
      <w:r w:rsidR="00505FD8" w:rsidRPr="00505FD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ukupan iznos rashoda za usluge unapređenja stanovanja i zajednice iznosi </w:t>
      </w:r>
      <w:proofErr w:type="spellStart"/>
      <w:r w:rsidR="00505FD8" w:rsidRPr="00505FD8">
        <w:rPr>
          <w:rFonts w:ascii="Times New Roman" w:eastAsia="Times New Roman" w:hAnsi="Times New Roman"/>
          <w:bCs/>
          <w:sz w:val="24"/>
          <w:szCs w:val="24"/>
          <w:lang w:eastAsia="hr-HR"/>
        </w:rPr>
        <w:t>409.575</w:t>
      </w:r>
      <w:proofErr w:type="spellEnd"/>
      <w:r w:rsidR="00505FD8" w:rsidRPr="00505FD8">
        <w:rPr>
          <w:rFonts w:ascii="Times New Roman" w:eastAsia="Times New Roman" w:hAnsi="Times New Roman"/>
          <w:bCs/>
          <w:sz w:val="24"/>
          <w:szCs w:val="24"/>
          <w:lang w:eastAsia="hr-HR"/>
        </w:rPr>
        <w:t>,40€.</w:t>
      </w:r>
    </w:p>
    <w:p w:rsidR="00505FD8" w:rsidRDefault="00505FD8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05FD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3. Rekreacija, kultura i religija (08)</w:t>
      </w:r>
      <w:r w:rsidRPr="00505FD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– rashodi za rek</w:t>
      </w:r>
      <w:bookmarkStart w:id="0" w:name="_GoBack"/>
      <w:bookmarkEnd w:id="0"/>
      <w:r w:rsidRPr="00505FD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reaciju, kulturu i religiju za ovo izvještajno razdoblje ukupno iznose  </w:t>
      </w:r>
      <w:proofErr w:type="spellStart"/>
      <w:r w:rsidRPr="00505FD8">
        <w:rPr>
          <w:rFonts w:ascii="Times New Roman" w:eastAsia="Times New Roman" w:hAnsi="Times New Roman"/>
          <w:bCs/>
          <w:sz w:val="24"/>
          <w:szCs w:val="24"/>
          <w:lang w:eastAsia="hr-HR"/>
        </w:rPr>
        <w:t>513.177</w:t>
      </w:r>
      <w:proofErr w:type="spellEnd"/>
      <w:r w:rsidRPr="00505FD8">
        <w:rPr>
          <w:rFonts w:ascii="Times New Roman" w:eastAsia="Times New Roman" w:hAnsi="Times New Roman"/>
          <w:bCs/>
          <w:sz w:val="24"/>
          <w:szCs w:val="24"/>
          <w:lang w:eastAsia="hr-HR"/>
        </w:rPr>
        <w:t>,20€.</w:t>
      </w:r>
    </w:p>
    <w:p w:rsidR="00AA0A1B" w:rsidRPr="00AA0A1B" w:rsidRDefault="00A75EDF" w:rsidP="00715815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71581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4. </w:t>
      </w:r>
      <w:r w:rsidR="00715815" w:rsidRPr="0071581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Obrazovanje (09)</w:t>
      </w:r>
      <w:r w:rsidR="0071581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– </w:t>
      </w:r>
      <w:r w:rsidR="00715815" w:rsidRPr="00715815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 </w:t>
      </w:r>
      <w:r w:rsidR="00AA0A1B" w:rsidRPr="00AA0A1B">
        <w:rPr>
          <w:rFonts w:ascii="Times New Roman" w:eastAsia="Times New Roman" w:hAnsi="Times New Roman"/>
          <w:sz w:val="24"/>
          <w:szCs w:val="24"/>
          <w:lang w:eastAsia="hr-HR"/>
        </w:rPr>
        <w:t xml:space="preserve">razdoblju od 01.01.2023. do 31.12.2023. godine utrošeno je </w:t>
      </w:r>
      <w:proofErr w:type="spellStart"/>
      <w:r w:rsidR="00AA0A1B" w:rsidRPr="00AA0A1B">
        <w:rPr>
          <w:rFonts w:ascii="Times New Roman" w:eastAsia="Times New Roman" w:hAnsi="Times New Roman"/>
          <w:sz w:val="24"/>
          <w:szCs w:val="24"/>
          <w:lang w:eastAsia="hr-HR"/>
        </w:rPr>
        <w:t>285.221</w:t>
      </w:r>
      <w:proofErr w:type="spellEnd"/>
      <w:r w:rsidR="00AA0A1B" w:rsidRPr="00AA0A1B">
        <w:rPr>
          <w:rFonts w:ascii="Times New Roman" w:eastAsia="Times New Roman" w:hAnsi="Times New Roman"/>
          <w:sz w:val="24"/>
          <w:szCs w:val="24"/>
          <w:lang w:eastAsia="hr-HR"/>
        </w:rPr>
        <w:t>,13 EUR za predškolsko obrazovanje (</w:t>
      </w:r>
      <w:proofErr w:type="spellStart"/>
      <w:r w:rsidR="00AA0A1B" w:rsidRPr="00AA0A1B">
        <w:rPr>
          <w:rFonts w:ascii="Times New Roman" w:eastAsia="Times New Roman" w:hAnsi="Times New Roman"/>
          <w:sz w:val="24"/>
          <w:szCs w:val="24"/>
          <w:lang w:eastAsia="hr-HR"/>
        </w:rPr>
        <w:t>0911</w:t>
      </w:r>
      <w:proofErr w:type="spellEnd"/>
      <w:r w:rsidR="00AA0A1B" w:rsidRPr="00AA0A1B">
        <w:rPr>
          <w:rFonts w:ascii="Times New Roman" w:eastAsia="Times New Roman" w:hAnsi="Times New Roman"/>
          <w:sz w:val="24"/>
          <w:szCs w:val="24"/>
          <w:lang w:eastAsia="hr-HR"/>
        </w:rPr>
        <w:t xml:space="preserve">).  </w:t>
      </w:r>
    </w:p>
    <w:p w:rsidR="00505FD8" w:rsidRPr="00505FD8" w:rsidRDefault="00505FD8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05FD8" w:rsidRPr="00505FD8" w:rsidRDefault="00505FD8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15815" w:rsidRPr="00715815" w:rsidRDefault="00715815" w:rsidP="00715815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 w:rsidRPr="0071581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IZVJEŠTAJ O PROMJENAMA U VRIJEDNOSTI I OBUJMU IMOVINE I OBVEZA</w:t>
      </w:r>
    </w:p>
    <w:p w:rsidR="00715815" w:rsidRPr="00715815" w:rsidRDefault="00715815" w:rsidP="00715815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715815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Tijekom 2023. godine Općini Vinica darovano je računalo i monitor temeljem Odluke o prijenosu prava vlasništva bez novčane naknade od strane Ministarstva prostornog uređenja, graditeljstva i državne imovine, ukupne vrijednosti </w:t>
      </w:r>
      <w:proofErr w:type="spellStart"/>
      <w:r w:rsidRPr="00715815">
        <w:rPr>
          <w:rFonts w:ascii="Times New Roman" w:eastAsia="Times New Roman" w:hAnsi="Times New Roman"/>
          <w:bCs/>
          <w:sz w:val="24"/>
          <w:szCs w:val="24"/>
          <w:lang w:eastAsia="hr-HR"/>
        </w:rPr>
        <w:t>1.365</w:t>
      </w:r>
      <w:proofErr w:type="spellEnd"/>
      <w:r w:rsidRPr="00715815">
        <w:rPr>
          <w:rFonts w:ascii="Times New Roman" w:eastAsia="Times New Roman" w:hAnsi="Times New Roman"/>
          <w:bCs/>
          <w:sz w:val="24"/>
          <w:szCs w:val="24"/>
          <w:lang w:eastAsia="hr-HR"/>
        </w:rPr>
        <w:t>,</w:t>
      </w:r>
      <w:proofErr w:type="spellStart"/>
      <w:r w:rsidRPr="00715815">
        <w:rPr>
          <w:rFonts w:ascii="Times New Roman" w:eastAsia="Times New Roman" w:hAnsi="Times New Roman"/>
          <w:bCs/>
          <w:sz w:val="24"/>
          <w:szCs w:val="24"/>
          <w:lang w:eastAsia="hr-HR"/>
        </w:rPr>
        <w:t>89</w:t>
      </w:r>
      <w:proofErr w:type="spellEnd"/>
      <w:r w:rsidRPr="00715815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€ što je evidentirano u okviru skupine računa </w:t>
      </w:r>
      <w:proofErr w:type="spellStart"/>
      <w:r w:rsidRPr="00715815">
        <w:rPr>
          <w:rFonts w:ascii="Times New Roman" w:eastAsia="Times New Roman" w:hAnsi="Times New Roman"/>
          <w:bCs/>
          <w:sz w:val="24"/>
          <w:szCs w:val="24"/>
          <w:lang w:eastAsia="hr-HR"/>
        </w:rPr>
        <w:t>915</w:t>
      </w:r>
      <w:proofErr w:type="spellEnd"/>
      <w:r w:rsidRPr="00715815">
        <w:rPr>
          <w:rFonts w:ascii="Times New Roman" w:eastAsia="Times New Roman" w:hAnsi="Times New Roman"/>
          <w:bCs/>
          <w:sz w:val="24"/>
          <w:szCs w:val="24"/>
          <w:lang w:eastAsia="hr-HR"/>
        </w:rPr>
        <w:t>.</w:t>
      </w:r>
    </w:p>
    <w:p w:rsidR="00715815" w:rsidRPr="00715815" w:rsidRDefault="00715815" w:rsidP="00715815">
      <w:pPr>
        <w:keepNext/>
        <w:suppressAutoHyphens w:val="0"/>
        <w:autoSpaceDN/>
        <w:spacing w:after="0" w:line="240" w:lineRule="auto"/>
        <w:jc w:val="both"/>
        <w:outlineLvl w:val="7"/>
        <w:rPr>
          <w:rFonts w:eastAsia="Times New Roman" w:cs="Calibri"/>
          <w:b/>
          <w:bCs/>
          <w:u w:val="single"/>
          <w:lang w:eastAsia="hr-HR"/>
        </w:rPr>
      </w:pPr>
    </w:p>
    <w:p w:rsidR="00505FD8" w:rsidRPr="00505FD8" w:rsidRDefault="00505FD8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05FD8" w:rsidRPr="00505FD8" w:rsidRDefault="00505FD8" w:rsidP="00505FD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A61FD" w:rsidRDefault="001A61FD" w:rsidP="00D17D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715815" w:rsidRPr="00715815" w:rsidRDefault="007709DB" w:rsidP="0071581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U Vinici,29</w:t>
      </w:r>
      <w:r w:rsidR="00715815" w:rsidRPr="00715815">
        <w:rPr>
          <w:rFonts w:ascii="Times New Roman" w:eastAsia="Times New Roman" w:hAnsi="Times New Roman"/>
          <w:sz w:val="24"/>
          <w:szCs w:val="24"/>
          <w:lang w:eastAsia="zh-CN"/>
        </w:rPr>
        <w:t>.02.2024. god.                                                             Za pismene bilješke:</w:t>
      </w:r>
    </w:p>
    <w:p w:rsidR="00715815" w:rsidRPr="00715815" w:rsidRDefault="00715815" w:rsidP="0071581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Voditelj financija i proračuna</w:t>
      </w:r>
    </w:p>
    <w:p w:rsidR="00715815" w:rsidRPr="00715815" w:rsidRDefault="00715815" w:rsidP="0071581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Općine Vinica  </w:t>
      </w:r>
    </w:p>
    <w:p w:rsidR="00715815" w:rsidRPr="00715815" w:rsidRDefault="00715815" w:rsidP="0071581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15815" w:rsidRPr="00715815" w:rsidRDefault="00715815" w:rsidP="00715815">
      <w:pPr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15815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dipl. oec. Željko Pajtak</w:t>
      </w:r>
    </w:p>
    <w:sectPr w:rsidR="00715815" w:rsidRPr="0071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34" w:rsidRDefault="00DB3834" w:rsidP="00C561C4">
      <w:pPr>
        <w:spacing w:after="0" w:line="240" w:lineRule="auto"/>
      </w:pPr>
      <w:r>
        <w:separator/>
      </w:r>
    </w:p>
  </w:endnote>
  <w:endnote w:type="continuationSeparator" w:id="0">
    <w:p w:rsidR="00DB3834" w:rsidRDefault="00DB3834" w:rsidP="00C5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34" w:rsidRDefault="00DB3834" w:rsidP="00C561C4">
      <w:pPr>
        <w:spacing w:after="0" w:line="240" w:lineRule="auto"/>
      </w:pPr>
      <w:r>
        <w:separator/>
      </w:r>
    </w:p>
  </w:footnote>
  <w:footnote w:type="continuationSeparator" w:id="0">
    <w:p w:rsidR="00DB3834" w:rsidRDefault="00DB3834" w:rsidP="00C56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91B"/>
    <w:multiLevelType w:val="hybridMultilevel"/>
    <w:tmpl w:val="A5762D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034B7"/>
    <w:multiLevelType w:val="hybridMultilevel"/>
    <w:tmpl w:val="18B661BA"/>
    <w:lvl w:ilvl="0" w:tplc="DB28315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9896D4A"/>
    <w:multiLevelType w:val="hybridMultilevel"/>
    <w:tmpl w:val="BCE40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368DD"/>
    <w:multiLevelType w:val="hybridMultilevel"/>
    <w:tmpl w:val="88302252"/>
    <w:lvl w:ilvl="0" w:tplc="A2F8A9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112D9"/>
    <w:multiLevelType w:val="hybridMultilevel"/>
    <w:tmpl w:val="72ACAE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2D00"/>
    <w:multiLevelType w:val="hybridMultilevel"/>
    <w:tmpl w:val="10D668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D72BD"/>
    <w:multiLevelType w:val="hybridMultilevel"/>
    <w:tmpl w:val="5F9665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E27AA"/>
    <w:multiLevelType w:val="hybridMultilevel"/>
    <w:tmpl w:val="12CEADB0"/>
    <w:lvl w:ilvl="0" w:tplc="FE36E7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80771"/>
    <w:multiLevelType w:val="hybridMultilevel"/>
    <w:tmpl w:val="AC7202AA"/>
    <w:lvl w:ilvl="0" w:tplc="041A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E68778C"/>
    <w:multiLevelType w:val="hybridMultilevel"/>
    <w:tmpl w:val="BD88B9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-3380" w:hanging="360"/>
      </w:pPr>
    </w:lvl>
    <w:lvl w:ilvl="2" w:tplc="041A001B">
      <w:start w:val="1"/>
      <w:numFmt w:val="lowerRoman"/>
      <w:lvlText w:val="%3."/>
      <w:lvlJc w:val="right"/>
      <w:pPr>
        <w:ind w:left="-2660" w:hanging="180"/>
      </w:pPr>
    </w:lvl>
    <w:lvl w:ilvl="3" w:tplc="041A000F">
      <w:start w:val="1"/>
      <w:numFmt w:val="decimal"/>
      <w:lvlText w:val="%4."/>
      <w:lvlJc w:val="left"/>
      <w:pPr>
        <w:ind w:left="-1940" w:hanging="360"/>
      </w:pPr>
    </w:lvl>
    <w:lvl w:ilvl="4" w:tplc="041A0019">
      <w:start w:val="1"/>
      <w:numFmt w:val="lowerLetter"/>
      <w:lvlText w:val="%5."/>
      <w:lvlJc w:val="left"/>
      <w:pPr>
        <w:ind w:left="-1220" w:hanging="360"/>
      </w:pPr>
    </w:lvl>
    <w:lvl w:ilvl="5" w:tplc="041A001B">
      <w:start w:val="1"/>
      <w:numFmt w:val="lowerRoman"/>
      <w:lvlText w:val="%6."/>
      <w:lvlJc w:val="right"/>
      <w:pPr>
        <w:ind w:left="-500" w:hanging="180"/>
      </w:pPr>
    </w:lvl>
    <w:lvl w:ilvl="6" w:tplc="041A000F">
      <w:start w:val="1"/>
      <w:numFmt w:val="decimal"/>
      <w:lvlText w:val="%7."/>
      <w:lvlJc w:val="left"/>
      <w:pPr>
        <w:ind w:left="220" w:hanging="360"/>
      </w:pPr>
    </w:lvl>
    <w:lvl w:ilvl="7" w:tplc="041A0019">
      <w:start w:val="1"/>
      <w:numFmt w:val="lowerLetter"/>
      <w:lvlText w:val="%8."/>
      <w:lvlJc w:val="left"/>
      <w:pPr>
        <w:ind w:left="940" w:hanging="360"/>
      </w:pPr>
    </w:lvl>
    <w:lvl w:ilvl="8" w:tplc="041A001B">
      <w:start w:val="1"/>
      <w:numFmt w:val="lowerRoman"/>
      <w:lvlText w:val="%9."/>
      <w:lvlJc w:val="right"/>
      <w:pPr>
        <w:ind w:left="1660" w:hanging="180"/>
      </w:pPr>
    </w:lvl>
  </w:abstractNum>
  <w:abstractNum w:abstractNumId="10">
    <w:nsid w:val="3ACB310B"/>
    <w:multiLevelType w:val="multilevel"/>
    <w:tmpl w:val="1FE60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E9D5A6D"/>
    <w:multiLevelType w:val="hybridMultilevel"/>
    <w:tmpl w:val="D86C6596"/>
    <w:lvl w:ilvl="0" w:tplc="C9EC1B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39A"/>
    <w:multiLevelType w:val="multilevel"/>
    <w:tmpl w:val="698EDC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6CC4C14"/>
    <w:multiLevelType w:val="hybridMultilevel"/>
    <w:tmpl w:val="CADA8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569CA"/>
    <w:multiLevelType w:val="hybridMultilevel"/>
    <w:tmpl w:val="5A62B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E79F8"/>
    <w:multiLevelType w:val="hybridMultilevel"/>
    <w:tmpl w:val="E58A80E2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5EA36EDD"/>
    <w:multiLevelType w:val="hybridMultilevel"/>
    <w:tmpl w:val="68E466D2"/>
    <w:lvl w:ilvl="0" w:tplc="E63E6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71DC2"/>
    <w:multiLevelType w:val="hybridMultilevel"/>
    <w:tmpl w:val="C5CC9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D1515"/>
    <w:multiLevelType w:val="hybridMultilevel"/>
    <w:tmpl w:val="AFA0160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2A1332"/>
    <w:multiLevelType w:val="hybridMultilevel"/>
    <w:tmpl w:val="18CCA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2269F"/>
    <w:multiLevelType w:val="hybridMultilevel"/>
    <w:tmpl w:val="ABFC8D0A"/>
    <w:lvl w:ilvl="0" w:tplc="60DC47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0"/>
  </w:num>
  <w:num w:numId="5">
    <w:abstractNumId w:val="19"/>
  </w:num>
  <w:num w:numId="6">
    <w:abstractNumId w:val="5"/>
  </w:num>
  <w:num w:numId="7">
    <w:abstractNumId w:val="16"/>
  </w:num>
  <w:num w:numId="8">
    <w:abstractNumId w:val="14"/>
  </w:num>
  <w:num w:numId="9">
    <w:abstractNumId w:val="6"/>
  </w:num>
  <w:num w:numId="10">
    <w:abstractNumId w:val="13"/>
  </w:num>
  <w:num w:numId="11">
    <w:abstractNumId w:val="11"/>
  </w:num>
  <w:num w:numId="12">
    <w:abstractNumId w:val="10"/>
  </w:num>
  <w:num w:numId="13">
    <w:abstractNumId w:val="17"/>
  </w:num>
  <w:num w:numId="14">
    <w:abstractNumId w:val="4"/>
  </w:num>
  <w:num w:numId="15">
    <w:abstractNumId w:val="12"/>
  </w:num>
  <w:num w:numId="16">
    <w:abstractNumId w:val="7"/>
  </w:num>
  <w:num w:numId="17">
    <w:abstractNumId w:val="3"/>
  </w:num>
  <w:num w:numId="18">
    <w:abstractNumId w:val="20"/>
  </w:num>
  <w:num w:numId="19">
    <w:abstractNumId w:val="1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E1"/>
    <w:rsid w:val="000003BF"/>
    <w:rsid w:val="0000094A"/>
    <w:rsid w:val="00004349"/>
    <w:rsid w:val="00007649"/>
    <w:rsid w:val="00007D3F"/>
    <w:rsid w:val="000161A9"/>
    <w:rsid w:val="00020381"/>
    <w:rsid w:val="00024FCA"/>
    <w:rsid w:val="000341D0"/>
    <w:rsid w:val="00041A65"/>
    <w:rsid w:val="000542DD"/>
    <w:rsid w:val="00066F70"/>
    <w:rsid w:val="00067C75"/>
    <w:rsid w:val="00083299"/>
    <w:rsid w:val="00086D4E"/>
    <w:rsid w:val="000879CB"/>
    <w:rsid w:val="00090AE5"/>
    <w:rsid w:val="00090DA8"/>
    <w:rsid w:val="00091782"/>
    <w:rsid w:val="000920B6"/>
    <w:rsid w:val="00092596"/>
    <w:rsid w:val="00094776"/>
    <w:rsid w:val="000A02D1"/>
    <w:rsid w:val="000A0EA7"/>
    <w:rsid w:val="000C052C"/>
    <w:rsid w:val="000C58BA"/>
    <w:rsid w:val="000C7CDD"/>
    <w:rsid w:val="000C7DDD"/>
    <w:rsid w:val="000D26DC"/>
    <w:rsid w:val="000D4B67"/>
    <w:rsid w:val="000E14AE"/>
    <w:rsid w:val="000E5D16"/>
    <w:rsid w:val="000F1266"/>
    <w:rsid w:val="000F2B88"/>
    <w:rsid w:val="000F5FE0"/>
    <w:rsid w:val="000F633E"/>
    <w:rsid w:val="000F6F57"/>
    <w:rsid w:val="00103805"/>
    <w:rsid w:val="00106C5F"/>
    <w:rsid w:val="00110E7E"/>
    <w:rsid w:val="001129BA"/>
    <w:rsid w:val="00116AF8"/>
    <w:rsid w:val="00122C9C"/>
    <w:rsid w:val="00122DE3"/>
    <w:rsid w:val="00127AA9"/>
    <w:rsid w:val="00131AAE"/>
    <w:rsid w:val="0013228D"/>
    <w:rsid w:val="00137F13"/>
    <w:rsid w:val="00141F8B"/>
    <w:rsid w:val="00144E5A"/>
    <w:rsid w:val="00164993"/>
    <w:rsid w:val="00166CCB"/>
    <w:rsid w:val="00175356"/>
    <w:rsid w:val="0017777A"/>
    <w:rsid w:val="00184727"/>
    <w:rsid w:val="00196AC7"/>
    <w:rsid w:val="001A0186"/>
    <w:rsid w:val="001A2E2C"/>
    <w:rsid w:val="001A61FD"/>
    <w:rsid w:val="001A7E50"/>
    <w:rsid w:val="001B0C47"/>
    <w:rsid w:val="001B1C52"/>
    <w:rsid w:val="001B3543"/>
    <w:rsid w:val="001C4EAF"/>
    <w:rsid w:val="001C72BE"/>
    <w:rsid w:val="001D04FD"/>
    <w:rsid w:val="001D4E8A"/>
    <w:rsid w:val="001F1CA5"/>
    <w:rsid w:val="001F2082"/>
    <w:rsid w:val="001F27B0"/>
    <w:rsid w:val="001F301F"/>
    <w:rsid w:val="002178C7"/>
    <w:rsid w:val="00233046"/>
    <w:rsid w:val="00233C0F"/>
    <w:rsid w:val="002411AD"/>
    <w:rsid w:val="0024198B"/>
    <w:rsid w:val="00261E3C"/>
    <w:rsid w:val="00263927"/>
    <w:rsid w:val="00275FAF"/>
    <w:rsid w:val="0028270C"/>
    <w:rsid w:val="00287282"/>
    <w:rsid w:val="002909E7"/>
    <w:rsid w:val="00290A70"/>
    <w:rsid w:val="002935BA"/>
    <w:rsid w:val="002958A8"/>
    <w:rsid w:val="002A52FE"/>
    <w:rsid w:val="002B2152"/>
    <w:rsid w:val="002B3A2A"/>
    <w:rsid w:val="002B5D8C"/>
    <w:rsid w:val="002C38F9"/>
    <w:rsid w:val="002C7862"/>
    <w:rsid w:val="002D102E"/>
    <w:rsid w:val="002D1D66"/>
    <w:rsid w:val="002E3AC9"/>
    <w:rsid w:val="002E5511"/>
    <w:rsid w:val="002E680E"/>
    <w:rsid w:val="002F369D"/>
    <w:rsid w:val="00302628"/>
    <w:rsid w:val="003034A1"/>
    <w:rsid w:val="00310228"/>
    <w:rsid w:val="0031072E"/>
    <w:rsid w:val="003207B1"/>
    <w:rsid w:val="003218A8"/>
    <w:rsid w:val="0032642F"/>
    <w:rsid w:val="00326B28"/>
    <w:rsid w:val="00327B73"/>
    <w:rsid w:val="00330581"/>
    <w:rsid w:val="003378B4"/>
    <w:rsid w:val="00337C03"/>
    <w:rsid w:val="00346B8A"/>
    <w:rsid w:val="00350230"/>
    <w:rsid w:val="00355ABE"/>
    <w:rsid w:val="003663CC"/>
    <w:rsid w:val="0037039E"/>
    <w:rsid w:val="00372955"/>
    <w:rsid w:val="0037644C"/>
    <w:rsid w:val="00376B6E"/>
    <w:rsid w:val="00383191"/>
    <w:rsid w:val="00383987"/>
    <w:rsid w:val="00396C7D"/>
    <w:rsid w:val="003A2413"/>
    <w:rsid w:val="003B3438"/>
    <w:rsid w:val="003B3520"/>
    <w:rsid w:val="003B61EA"/>
    <w:rsid w:val="003C24A0"/>
    <w:rsid w:val="003C6FE1"/>
    <w:rsid w:val="003D380F"/>
    <w:rsid w:val="003E2151"/>
    <w:rsid w:val="003E294E"/>
    <w:rsid w:val="003E5ADD"/>
    <w:rsid w:val="003F5451"/>
    <w:rsid w:val="00406E85"/>
    <w:rsid w:val="00417582"/>
    <w:rsid w:val="004210E7"/>
    <w:rsid w:val="00421811"/>
    <w:rsid w:val="00425EA1"/>
    <w:rsid w:val="00426C9A"/>
    <w:rsid w:val="00426E3B"/>
    <w:rsid w:val="00430813"/>
    <w:rsid w:val="00430A89"/>
    <w:rsid w:val="00431371"/>
    <w:rsid w:val="00433F4D"/>
    <w:rsid w:val="00442F36"/>
    <w:rsid w:val="0044548C"/>
    <w:rsid w:val="0045770F"/>
    <w:rsid w:val="00473FBF"/>
    <w:rsid w:val="004741BC"/>
    <w:rsid w:val="0047429B"/>
    <w:rsid w:val="00476EEC"/>
    <w:rsid w:val="00481F8D"/>
    <w:rsid w:val="0048615F"/>
    <w:rsid w:val="00487B79"/>
    <w:rsid w:val="004A2830"/>
    <w:rsid w:val="004A627D"/>
    <w:rsid w:val="004B5724"/>
    <w:rsid w:val="004C2CE5"/>
    <w:rsid w:val="004D0A0B"/>
    <w:rsid w:val="004D432C"/>
    <w:rsid w:val="004E0CEE"/>
    <w:rsid w:val="0050199C"/>
    <w:rsid w:val="00502E34"/>
    <w:rsid w:val="00505FD8"/>
    <w:rsid w:val="005255D9"/>
    <w:rsid w:val="005304D3"/>
    <w:rsid w:val="005431C1"/>
    <w:rsid w:val="00547618"/>
    <w:rsid w:val="00553501"/>
    <w:rsid w:val="0055602F"/>
    <w:rsid w:val="00557B92"/>
    <w:rsid w:val="00565F53"/>
    <w:rsid w:val="00575823"/>
    <w:rsid w:val="005765AC"/>
    <w:rsid w:val="0058144F"/>
    <w:rsid w:val="0058444F"/>
    <w:rsid w:val="00586E5C"/>
    <w:rsid w:val="005875B7"/>
    <w:rsid w:val="005960B8"/>
    <w:rsid w:val="005A2395"/>
    <w:rsid w:val="005B0813"/>
    <w:rsid w:val="005B161C"/>
    <w:rsid w:val="005B2804"/>
    <w:rsid w:val="005C540A"/>
    <w:rsid w:val="005D2298"/>
    <w:rsid w:val="005D3346"/>
    <w:rsid w:val="005D5313"/>
    <w:rsid w:val="005E3CFC"/>
    <w:rsid w:val="005E4BE4"/>
    <w:rsid w:val="005F04F7"/>
    <w:rsid w:val="005F09EC"/>
    <w:rsid w:val="005F0B32"/>
    <w:rsid w:val="005F430D"/>
    <w:rsid w:val="005F67B6"/>
    <w:rsid w:val="006014AA"/>
    <w:rsid w:val="00601DAB"/>
    <w:rsid w:val="00606195"/>
    <w:rsid w:val="00610B48"/>
    <w:rsid w:val="00620208"/>
    <w:rsid w:val="0062040D"/>
    <w:rsid w:val="00624A0C"/>
    <w:rsid w:val="0062617A"/>
    <w:rsid w:val="006261B6"/>
    <w:rsid w:val="00627A3F"/>
    <w:rsid w:val="0063414C"/>
    <w:rsid w:val="00635055"/>
    <w:rsid w:val="00636B4C"/>
    <w:rsid w:val="006416AA"/>
    <w:rsid w:val="00641E70"/>
    <w:rsid w:val="00642FB1"/>
    <w:rsid w:val="006468C1"/>
    <w:rsid w:val="006475B7"/>
    <w:rsid w:val="006511AD"/>
    <w:rsid w:val="00653FD1"/>
    <w:rsid w:val="00654CC2"/>
    <w:rsid w:val="00657F3A"/>
    <w:rsid w:val="00664E3F"/>
    <w:rsid w:val="0066666E"/>
    <w:rsid w:val="00667DE0"/>
    <w:rsid w:val="00675C0F"/>
    <w:rsid w:val="00675FCC"/>
    <w:rsid w:val="00676AC7"/>
    <w:rsid w:val="006800FA"/>
    <w:rsid w:val="00685325"/>
    <w:rsid w:val="006A3F88"/>
    <w:rsid w:val="006B0AAB"/>
    <w:rsid w:val="006B6170"/>
    <w:rsid w:val="006B7F85"/>
    <w:rsid w:val="006C1B9C"/>
    <w:rsid w:val="006C2437"/>
    <w:rsid w:val="006C4747"/>
    <w:rsid w:val="006D5C03"/>
    <w:rsid w:val="006D78C8"/>
    <w:rsid w:val="006D7D5F"/>
    <w:rsid w:val="006E3D06"/>
    <w:rsid w:val="006F1EB3"/>
    <w:rsid w:val="006F528E"/>
    <w:rsid w:val="006F55B7"/>
    <w:rsid w:val="006F55BC"/>
    <w:rsid w:val="00702721"/>
    <w:rsid w:val="00703EE2"/>
    <w:rsid w:val="00710F10"/>
    <w:rsid w:val="00715815"/>
    <w:rsid w:val="00722FAD"/>
    <w:rsid w:val="007265BD"/>
    <w:rsid w:val="00727005"/>
    <w:rsid w:val="00730028"/>
    <w:rsid w:val="007340EC"/>
    <w:rsid w:val="00742188"/>
    <w:rsid w:val="007478E0"/>
    <w:rsid w:val="00753FCD"/>
    <w:rsid w:val="007541E3"/>
    <w:rsid w:val="00761F45"/>
    <w:rsid w:val="007656D1"/>
    <w:rsid w:val="007709DB"/>
    <w:rsid w:val="00770DA8"/>
    <w:rsid w:val="007772ED"/>
    <w:rsid w:val="00777738"/>
    <w:rsid w:val="007851A4"/>
    <w:rsid w:val="00786DBC"/>
    <w:rsid w:val="007877F4"/>
    <w:rsid w:val="00790FBC"/>
    <w:rsid w:val="007A3EC3"/>
    <w:rsid w:val="007A6471"/>
    <w:rsid w:val="007B071E"/>
    <w:rsid w:val="007C5FB3"/>
    <w:rsid w:val="007E31A4"/>
    <w:rsid w:val="007E44E3"/>
    <w:rsid w:val="007F02BF"/>
    <w:rsid w:val="007F5494"/>
    <w:rsid w:val="0080192F"/>
    <w:rsid w:val="008054B6"/>
    <w:rsid w:val="00814CC4"/>
    <w:rsid w:val="008164F0"/>
    <w:rsid w:val="008333FF"/>
    <w:rsid w:val="008347A3"/>
    <w:rsid w:val="00844D19"/>
    <w:rsid w:val="008559AD"/>
    <w:rsid w:val="00856AD7"/>
    <w:rsid w:val="00864B45"/>
    <w:rsid w:val="00874192"/>
    <w:rsid w:val="008749B6"/>
    <w:rsid w:val="00881860"/>
    <w:rsid w:val="008832B0"/>
    <w:rsid w:val="00884FFC"/>
    <w:rsid w:val="00885439"/>
    <w:rsid w:val="008916D7"/>
    <w:rsid w:val="008945F7"/>
    <w:rsid w:val="00895744"/>
    <w:rsid w:val="008A00F6"/>
    <w:rsid w:val="008A3440"/>
    <w:rsid w:val="008A3920"/>
    <w:rsid w:val="008B03C0"/>
    <w:rsid w:val="008B4661"/>
    <w:rsid w:val="008C4DE2"/>
    <w:rsid w:val="008C6E1E"/>
    <w:rsid w:val="008D70BD"/>
    <w:rsid w:val="008E0022"/>
    <w:rsid w:val="008E08CA"/>
    <w:rsid w:val="008E0955"/>
    <w:rsid w:val="008E637D"/>
    <w:rsid w:val="008E6CA5"/>
    <w:rsid w:val="008F0FCA"/>
    <w:rsid w:val="008F1147"/>
    <w:rsid w:val="009026E6"/>
    <w:rsid w:val="009044D7"/>
    <w:rsid w:val="00912629"/>
    <w:rsid w:val="00927B8B"/>
    <w:rsid w:val="00933007"/>
    <w:rsid w:val="009365C3"/>
    <w:rsid w:val="00940713"/>
    <w:rsid w:val="00942561"/>
    <w:rsid w:val="00943567"/>
    <w:rsid w:val="00944DDB"/>
    <w:rsid w:val="009523EA"/>
    <w:rsid w:val="009555E2"/>
    <w:rsid w:val="00955CA2"/>
    <w:rsid w:val="00965370"/>
    <w:rsid w:val="0096547D"/>
    <w:rsid w:val="0096609D"/>
    <w:rsid w:val="009674DB"/>
    <w:rsid w:val="00970541"/>
    <w:rsid w:val="0097282B"/>
    <w:rsid w:val="00974E26"/>
    <w:rsid w:val="00983E8F"/>
    <w:rsid w:val="0099756E"/>
    <w:rsid w:val="009B2081"/>
    <w:rsid w:val="009B7602"/>
    <w:rsid w:val="009D02CC"/>
    <w:rsid w:val="009D1EC0"/>
    <w:rsid w:val="009D245D"/>
    <w:rsid w:val="009D24F2"/>
    <w:rsid w:val="009D6E9B"/>
    <w:rsid w:val="009D6FE7"/>
    <w:rsid w:val="009F1E0E"/>
    <w:rsid w:val="00A0032C"/>
    <w:rsid w:val="00A070CD"/>
    <w:rsid w:val="00A17D85"/>
    <w:rsid w:val="00A27E5E"/>
    <w:rsid w:val="00A45513"/>
    <w:rsid w:val="00A50541"/>
    <w:rsid w:val="00A5073F"/>
    <w:rsid w:val="00A512C6"/>
    <w:rsid w:val="00A55922"/>
    <w:rsid w:val="00A60DD5"/>
    <w:rsid w:val="00A653C4"/>
    <w:rsid w:val="00A73AFF"/>
    <w:rsid w:val="00A75EDF"/>
    <w:rsid w:val="00A8780F"/>
    <w:rsid w:val="00A90041"/>
    <w:rsid w:val="00A93ACD"/>
    <w:rsid w:val="00A96A59"/>
    <w:rsid w:val="00AA0A1B"/>
    <w:rsid w:val="00AA0CBA"/>
    <w:rsid w:val="00AA2712"/>
    <w:rsid w:val="00AA3123"/>
    <w:rsid w:val="00AA3F2B"/>
    <w:rsid w:val="00AA7C80"/>
    <w:rsid w:val="00AB0CF5"/>
    <w:rsid w:val="00AB2A77"/>
    <w:rsid w:val="00AB3B6F"/>
    <w:rsid w:val="00AC2F13"/>
    <w:rsid w:val="00AC56C4"/>
    <w:rsid w:val="00AC7322"/>
    <w:rsid w:val="00AD2692"/>
    <w:rsid w:val="00AD36A4"/>
    <w:rsid w:val="00AD7591"/>
    <w:rsid w:val="00AD7609"/>
    <w:rsid w:val="00AE090B"/>
    <w:rsid w:val="00AE13DE"/>
    <w:rsid w:val="00AE2500"/>
    <w:rsid w:val="00AE4296"/>
    <w:rsid w:val="00AE5A3E"/>
    <w:rsid w:val="00AF3A56"/>
    <w:rsid w:val="00B11269"/>
    <w:rsid w:val="00B123A3"/>
    <w:rsid w:val="00B13164"/>
    <w:rsid w:val="00B1790B"/>
    <w:rsid w:val="00B224AA"/>
    <w:rsid w:val="00B36F57"/>
    <w:rsid w:val="00B41AF8"/>
    <w:rsid w:val="00B5607D"/>
    <w:rsid w:val="00B57CAD"/>
    <w:rsid w:val="00B614BE"/>
    <w:rsid w:val="00B61D44"/>
    <w:rsid w:val="00B80EF7"/>
    <w:rsid w:val="00B84365"/>
    <w:rsid w:val="00B85BE1"/>
    <w:rsid w:val="00B87610"/>
    <w:rsid w:val="00B9100E"/>
    <w:rsid w:val="00BA0ABE"/>
    <w:rsid w:val="00BB4846"/>
    <w:rsid w:val="00BC1F9E"/>
    <w:rsid w:val="00BD6102"/>
    <w:rsid w:val="00BE19EB"/>
    <w:rsid w:val="00BF66EC"/>
    <w:rsid w:val="00C00B50"/>
    <w:rsid w:val="00C02C7E"/>
    <w:rsid w:val="00C07C90"/>
    <w:rsid w:val="00C2525A"/>
    <w:rsid w:val="00C32D38"/>
    <w:rsid w:val="00C52709"/>
    <w:rsid w:val="00C561C4"/>
    <w:rsid w:val="00C5778F"/>
    <w:rsid w:val="00C57FC6"/>
    <w:rsid w:val="00C63D61"/>
    <w:rsid w:val="00C6483B"/>
    <w:rsid w:val="00C71EE4"/>
    <w:rsid w:val="00C80789"/>
    <w:rsid w:val="00C861AC"/>
    <w:rsid w:val="00C9640C"/>
    <w:rsid w:val="00C96DBA"/>
    <w:rsid w:val="00CE190C"/>
    <w:rsid w:val="00CE3FC2"/>
    <w:rsid w:val="00CF4B42"/>
    <w:rsid w:val="00D016E7"/>
    <w:rsid w:val="00D01AAF"/>
    <w:rsid w:val="00D032B1"/>
    <w:rsid w:val="00D05352"/>
    <w:rsid w:val="00D0610A"/>
    <w:rsid w:val="00D06114"/>
    <w:rsid w:val="00D06C6D"/>
    <w:rsid w:val="00D11196"/>
    <w:rsid w:val="00D154F1"/>
    <w:rsid w:val="00D17D16"/>
    <w:rsid w:val="00D22EC0"/>
    <w:rsid w:val="00D34D4A"/>
    <w:rsid w:val="00D37E20"/>
    <w:rsid w:val="00D42D87"/>
    <w:rsid w:val="00D44CBA"/>
    <w:rsid w:val="00D515CA"/>
    <w:rsid w:val="00D51DE5"/>
    <w:rsid w:val="00D554E2"/>
    <w:rsid w:val="00D55B09"/>
    <w:rsid w:val="00D92603"/>
    <w:rsid w:val="00DA313A"/>
    <w:rsid w:val="00DA3DD0"/>
    <w:rsid w:val="00DA5BF5"/>
    <w:rsid w:val="00DB189A"/>
    <w:rsid w:val="00DB3834"/>
    <w:rsid w:val="00DB4E18"/>
    <w:rsid w:val="00DC23ED"/>
    <w:rsid w:val="00DE31DB"/>
    <w:rsid w:val="00DE569F"/>
    <w:rsid w:val="00DE5927"/>
    <w:rsid w:val="00DF34F0"/>
    <w:rsid w:val="00DF60CC"/>
    <w:rsid w:val="00E06837"/>
    <w:rsid w:val="00E078E5"/>
    <w:rsid w:val="00E13F90"/>
    <w:rsid w:val="00E171AB"/>
    <w:rsid w:val="00E224C3"/>
    <w:rsid w:val="00E25225"/>
    <w:rsid w:val="00E2563E"/>
    <w:rsid w:val="00E317F6"/>
    <w:rsid w:val="00E4402C"/>
    <w:rsid w:val="00E45C16"/>
    <w:rsid w:val="00E646A2"/>
    <w:rsid w:val="00E66138"/>
    <w:rsid w:val="00E668F3"/>
    <w:rsid w:val="00E72944"/>
    <w:rsid w:val="00E83545"/>
    <w:rsid w:val="00E83BD4"/>
    <w:rsid w:val="00E87B03"/>
    <w:rsid w:val="00E917A6"/>
    <w:rsid w:val="00E97F43"/>
    <w:rsid w:val="00EB02E1"/>
    <w:rsid w:val="00EB40B1"/>
    <w:rsid w:val="00EB7FD2"/>
    <w:rsid w:val="00EE1AFF"/>
    <w:rsid w:val="00EE1EC5"/>
    <w:rsid w:val="00EE6F5B"/>
    <w:rsid w:val="00F01F61"/>
    <w:rsid w:val="00F03270"/>
    <w:rsid w:val="00F1164C"/>
    <w:rsid w:val="00F1597E"/>
    <w:rsid w:val="00F16B15"/>
    <w:rsid w:val="00F2150F"/>
    <w:rsid w:val="00F21B53"/>
    <w:rsid w:val="00F268A7"/>
    <w:rsid w:val="00F332BE"/>
    <w:rsid w:val="00F37422"/>
    <w:rsid w:val="00F544D7"/>
    <w:rsid w:val="00F55CD8"/>
    <w:rsid w:val="00F61036"/>
    <w:rsid w:val="00F61D39"/>
    <w:rsid w:val="00F6694E"/>
    <w:rsid w:val="00F76226"/>
    <w:rsid w:val="00F80FCD"/>
    <w:rsid w:val="00F822B1"/>
    <w:rsid w:val="00F82D3F"/>
    <w:rsid w:val="00F90203"/>
    <w:rsid w:val="00F91346"/>
    <w:rsid w:val="00F955FF"/>
    <w:rsid w:val="00FA1F8B"/>
    <w:rsid w:val="00FA482F"/>
    <w:rsid w:val="00FA4A09"/>
    <w:rsid w:val="00FB05BB"/>
    <w:rsid w:val="00FB2C1D"/>
    <w:rsid w:val="00FB2C62"/>
    <w:rsid w:val="00FB7E6D"/>
    <w:rsid w:val="00FC01D2"/>
    <w:rsid w:val="00FD0188"/>
    <w:rsid w:val="00FF0F7A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7D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2E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02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E5C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8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703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703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7039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703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7039E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3764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644C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C56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61C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56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61C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7D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2E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02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E5C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8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703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703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7039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703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7039E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3764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644C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C56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61C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56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61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upload.wikimedia.org/wikipedia/commons/thumb/c/c9/Coat_of_arms_of_Croatia.svg/580px-Coat_of_arms_of_Croatia.svg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45ED1-E31E-4C7D-B14D-CF1E24E0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Windows korisnik</cp:lastModifiedBy>
  <cp:revision>5</cp:revision>
  <cp:lastPrinted>2020-02-13T09:31:00Z</cp:lastPrinted>
  <dcterms:created xsi:type="dcterms:W3CDTF">2024-02-28T14:01:00Z</dcterms:created>
  <dcterms:modified xsi:type="dcterms:W3CDTF">2024-02-29T08:39:00Z</dcterms:modified>
</cp:coreProperties>
</file>