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9457d80a84fdd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31286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VINICA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1.423.928,21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1.872.119,21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900.141,19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1.299.326,94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523.787,02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572.792,27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109,4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2.572,94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2.506,14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268.619,98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446.729,27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166,3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266.047,04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444.223,13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167,0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257.739,98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128.569,14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ukupni prihodi poslovanja ostvareni su u iznosu od 1.872.119,21 Eur. Najznačajnije povećanje prihoda odnosi se na povećanje prihoda od poreza na dohodak radi povećanja plaća, povećanja prihoda od poreza na nekretnina radi većih cijena nekretnina i većeg broja kupoprodaja te veća realizacija prihoda od kapitalnih pomoći iz državnog proračuna. Rashodi poslovanja ostvareni su u iznosu od 1.299.326,94 Eur, a povećanja ovih rashoda odnese se na povećanja rashoda za zaposlene radi povećanja koef. i osnovice za obračun plaća, veće iznose prijenosa proračunskom korisniku DV Vinica radi povećanja ekonomske cijene vrtića, povećanja cijena robe i usluga i dr.
Prihodi od prodaje nefinancijske imovine odnose se na obročnu otplatu stanova , a ostalih prihoda ovog razreda nije bilo, dok su rashodi za nabavu nefinancijske imovine ostvareni u iznosu od 446.729,27 Eur radi povećanja broja realiziranih projekata, ulaganja u računalne programe, nabavu zemljišta radi planiranih novih projekata na istima i dr.
U ovom razdoblju ostvareni je višak prihoda nad rashodima u iznosu od 128.569,14 Eur.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poreza (šifre 611+612+613+614+615+616)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960.639,48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1.107.099,01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poreza veći su za 15,2% u odnosu na usporedno razdoblje, a razlog povećanja leži u rastu plaća u sektorima u kojima su zaposleni mještani s područja Općine Vinica. Evidentno je i povećanje poreza na imovinu (veće za 107,1%), a mogući razlozi su: povećani broj kupoprodaja nekretnina na našem području, kao i povećanje cijena nekretnina. Veći je i prihod od poreza na robu i usluge radi povećanja kupovne moći potrošača te rasta prometa pružatelja ugostiteljskih usluga.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326.860,14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684.107,58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Ovi prihodi veći su za 109,3 % u odnosu na usporedno razdoblje, a razlozi su: veći broj realiziranih projekata i veći iznos bespovratnih sredstava po prijavljenim projektima (Sportski centar  Vinica - nogometno igralište 226.180,00 Eur, Sanacije opasnih mjesta, obilježavanje pješačkih prijelaza  na ŽC2029 39.905,00 Eur, Održavanje i uređenje nogostupa Marčan-Vinica 23.900,00 Eur, Program Zaželi (u partnerstvu s Općinom Bednja) 22.085,30 Eur). Također su ostvareni i veći iznosi Pomoći fiskalnog izravnanja i fiskalne održivosti dječjih vrtića-ukupno 349.793,05 Eur.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37.542,73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7.957,61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ove vrste manje su jer ove godine nije bilo primljenih kapitalnih donacija.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132.599,06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192.302,44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veći su u odnosu na usporedno razdoblje za 45 % radi povećanja koeficijenata i osnovice za obračun plaća.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Materijalni rashodi (šifre 321+322+323+324+325+329)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366.840,73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549.223,47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Uspoređujući s proteklim razdobljem ovi rashodi su veći uglavnom radi povećanja cijena materijala,  nabave potrebnog materijala za održavanje lokalnih izbora, zamjene dijelova na solarnoj elektrani i nabave zavjesa za uređeni dio općinske zgrade.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Subvencije (šifre 351+352+353)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14.184,42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31.416,88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ove vrste ovise o broju podnesenih zahtjeva koji udovoljavaju kriterijima za dodjelu subvencije, a u ovom izvještajnom razdoblju podneseno je 7 zahtjeva više nego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dane u inozemstvo i unutar općeg proračuna (šifre 361+362+363+365+366+367+368+369)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215.874,20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294.769,76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ove vrste veći su za 36,5 % u odnosu na usporedno razdoblje, a razlog povećanju u najvećoj mjeri leži u povećanju prijenosa sredstava proračunskom korisniku DV Vinica radi povećanja postotnog iznosa u participaciji ekonomske cijene (70%) i povećanje ekonomske cijene vrtića.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na temelju osiguranja i druge naknade (šifre 371+372)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55.477,92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76.628,27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ove vrste rashodi odnosi se na veće iznose novčanih potpora studentima, većeg iznosa isplaćenih jednokratnih naknada umirovljenicima povodom uskrsnih blagdana radi promjene kriterija za dodjelu i pomoći jednoj obitelji u vidu postavljanja kućice za stanovanje i stavljanja u funkciju iste.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113.281,33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152.380,59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Uglavnom se povećanje od 34,5 % ove vrste rashoda odnosi na veće iznose dodjeljenih sredstava udrugama, nastavak projekta Aglomeracija i dr.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neproizvedene dugotrajne imovine (šifre 411+412)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24.424,96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218.131,71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ove skupine odnose se na kupnju zemljišta radi novih planiranih projekata ( u iznosu od 75.901,51 Eur) kao i realizaciju projekata: Sanacija opasnih mjesta obilježavanje pješačkih prijelaza na ŽC2029 u iznosu od 79.232,70 Eur, Održavanje i uređenje nogostupa od Marčana do Vinice u iznosu od 62.997,50 Eur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208.490,02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139.391,76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ove skupine odnose se na realizirani projekt Pješačko, biciklističko prometni poligon na SC Vinica u iznosu od 72.225,63 Eur, Dječja igrala za DV Vinica u iznosu od 17.674,13 Eur. Također je u ovom razdoblju nadograđen računalni program, nabavljeno računalo, oprema za općinske objekte i dr.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dodatna ulaganja na nefinancijskoj imovini (šifre 451 do 454)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35.705,00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89.205,80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ovom izvještajnom razdoblju realiziran je projekt adaptacije prostora Koke u iznosu 62.030,80 Eur, a  nabavljena je i projektno tehničke dokumentacija te stručni nadzor za navedene radove.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103.844,41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ukupno iskazanih dospjelih obveza na kraju izvještajnog razdoblja veći dio se odnosi na obveze vezane uz radove na nogostupu, a koji je još uvijek u tijeku. Navedene obveze biti će podmirene, prateći dinamiku izvršenja i realizacije projekta.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115.964,09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Evidentno je da se stanje nedospjelih obveza odnosi se na obveze za zaposlene 22.864,62Eur i obvezu za uređaje, strojeve i opremu za ostale namjene 17.674,13 Eur te obveze za prijenos OŠ Vinica za nabavu radnih materijala za učenike Oš 20.440,91 Eur. Ostale nedospjele obveze trenutno utvrđujemo, obzirom da je u tijeku usklađivanje i utvrđivanje razlike između iskazanih obveza u GK i u analitici.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551c8acfc41d6" /></Relationships>
</file>